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41893">
      <w:pPr>
        <w:jc w:val="center"/>
        <w:rPr>
          <w:rFonts w:hint="eastAsia" w:eastAsia="宋体"/>
          <w:color w:val="auto"/>
          <w:sz w:val="32"/>
          <w:szCs w:val="32"/>
          <w:highlight w:val="none"/>
          <w:lang w:eastAsia="zh-CN"/>
        </w:rPr>
      </w:pPr>
      <w:bookmarkStart w:id="0" w:name="_GoBack"/>
      <w:bookmarkEnd w:id="0"/>
      <w:r>
        <w:rPr>
          <w:rFonts w:hint="eastAsia"/>
          <w:color w:val="auto"/>
          <w:sz w:val="32"/>
          <w:szCs w:val="32"/>
          <w:highlight w:val="none"/>
          <w:lang w:eastAsia="zh-CN"/>
        </w:rPr>
        <w:t>综合评分法</w:t>
      </w:r>
    </w:p>
    <w:p w14:paraId="63BBB1B0">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综合评分：</w:t>
      </w:r>
    </w:p>
    <w:p w14:paraId="59EE734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本项目综合评分满分为100分，其中：技术资信分值占总分值的权重为</w:t>
      </w:r>
      <w:r>
        <w:rPr>
          <w:rFonts w:hint="eastAsia" w:ascii="宋体" w:hAnsi="宋体" w:cs="宋体"/>
          <w:snapToGrid w:val="0"/>
          <w:color w:val="auto"/>
          <w:kern w:val="0"/>
          <w:szCs w:val="21"/>
          <w:highlight w:val="none"/>
          <w:u w:val="single"/>
          <w:lang w:val="en-US" w:eastAsia="zh-CN"/>
        </w:rPr>
        <w:t xml:space="preserve"> 90 </w:t>
      </w:r>
      <w:r>
        <w:rPr>
          <w:rFonts w:hint="eastAsia" w:ascii="宋体" w:hAnsi="宋体" w:cs="宋体"/>
          <w:snapToGrid w:val="0"/>
          <w:color w:val="auto"/>
          <w:kern w:val="0"/>
          <w:szCs w:val="21"/>
          <w:highlight w:val="none"/>
          <w:lang w:val="en-US" w:eastAsia="zh-CN"/>
        </w:rPr>
        <w:t>%，价格分值占总分值的权重为</w:t>
      </w:r>
      <w:r>
        <w:rPr>
          <w:rFonts w:hint="eastAsia" w:ascii="宋体" w:hAnsi="宋体" w:cs="宋体"/>
          <w:snapToGrid w:val="0"/>
          <w:color w:val="auto"/>
          <w:kern w:val="0"/>
          <w:szCs w:val="21"/>
          <w:highlight w:val="none"/>
          <w:u w:val="single"/>
          <w:lang w:val="en-US" w:eastAsia="zh-CN"/>
        </w:rPr>
        <w:t xml:space="preserve"> 10 </w:t>
      </w:r>
      <w:r>
        <w:rPr>
          <w:rFonts w:hint="eastAsia" w:ascii="宋体" w:hAnsi="宋体" w:cs="宋体"/>
          <w:snapToGrid w:val="0"/>
          <w:color w:val="auto"/>
          <w:kern w:val="0"/>
          <w:szCs w:val="21"/>
          <w:highlight w:val="none"/>
          <w:lang w:val="en-US" w:eastAsia="zh-CN"/>
        </w:rPr>
        <w:t>%。具体评分细则如下：</w:t>
      </w:r>
    </w:p>
    <w:tbl>
      <w:tblPr>
        <w:tblStyle w:val="20"/>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341"/>
        <w:gridCol w:w="4682"/>
        <w:gridCol w:w="1227"/>
      </w:tblGrid>
      <w:tr w14:paraId="783F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14:paraId="43A79FA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764" w:type="pct"/>
            <w:tcBorders>
              <w:top w:val="single" w:color="auto" w:sz="4" w:space="0"/>
              <w:left w:val="single" w:color="auto" w:sz="4" w:space="0"/>
              <w:bottom w:val="single" w:color="auto" w:sz="4" w:space="0"/>
              <w:right w:val="single" w:color="auto" w:sz="4" w:space="0"/>
            </w:tcBorders>
            <w:vAlign w:val="center"/>
          </w:tcPr>
          <w:p w14:paraId="344AAFF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667" w:type="pct"/>
            <w:tcBorders>
              <w:top w:val="single" w:color="auto" w:sz="4" w:space="0"/>
              <w:left w:val="single" w:color="auto" w:sz="4" w:space="0"/>
              <w:bottom w:val="single" w:color="auto" w:sz="4" w:space="0"/>
              <w:right w:val="single" w:color="auto" w:sz="4" w:space="0"/>
            </w:tcBorders>
            <w:vAlign w:val="center"/>
          </w:tcPr>
          <w:p w14:paraId="04AF531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699" w:type="pct"/>
            <w:tcBorders>
              <w:top w:val="single" w:color="auto" w:sz="4" w:space="0"/>
              <w:left w:val="single" w:color="auto" w:sz="4" w:space="0"/>
              <w:bottom w:val="single" w:color="auto" w:sz="4" w:space="0"/>
              <w:right w:val="single" w:color="auto" w:sz="4" w:space="0"/>
            </w:tcBorders>
            <w:vAlign w:val="center"/>
          </w:tcPr>
          <w:p w14:paraId="629CB688">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123E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restart"/>
            <w:tcBorders>
              <w:top w:val="single" w:color="auto" w:sz="4" w:space="0"/>
              <w:left w:val="single" w:color="auto" w:sz="4" w:space="0"/>
              <w:right w:val="single" w:color="auto" w:sz="4" w:space="0"/>
            </w:tcBorders>
            <w:vAlign w:val="center"/>
          </w:tcPr>
          <w:p w14:paraId="70AB3DD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1914EC3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none"/>
                <w:lang w:val="en-US" w:eastAsia="zh-CN"/>
              </w:rPr>
              <w:t>90</w:t>
            </w:r>
            <w:r>
              <w:rPr>
                <w:rFonts w:hint="eastAsia" w:asciiTheme="minorEastAsia" w:hAnsiTheme="minorEastAsia" w:eastAsiaTheme="minorEastAsia"/>
                <w:color w:val="auto"/>
                <w:sz w:val="24"/>
                <w:highlight w:val="none"/>
              </w:rPr>
              <w:t>分）</w:t>
            </w:r>
          </w:p>
        </w:tc>
        <w:tc>
          <w:tcPr>
            <w:tcW w:w="764" w:type="pct"/>
            <w:tcBorders>
              <w:top w:val="single" w:color="auto" w:sz="4" w:space="0"/>
              <w:left w:val="single" w:color="auto" w:sz="4" w:space="0"/>
              <w:bottom w:val="single" w:color="auto" w:sz="4" w:space="0"/>
              <w:right w:val="single" w:color="auto" w:sz="4" w:space="0"/>
            </w:tcBorders>
            <w:vAlign w:val="center"/>
          </w:tcPr>
          <w:p w14:paraId="574BA199">
            <w:pPr>
              <w:spacing w:line="360" w:lineRule="auto"/>
              <w:jc w:val="center"/>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lang w:val="en-US" w:eastAsia="zh-CN"/>
              </w:rPr>
              <w:t>业绩</w:t>
            </w:r>
          </w:p>
        </w:tc>
        <w:tc>
          <w:tcPr>
            <w:tcW w:w="2667" w:type="pct"/>
            <w:tcBorders>
              <w:top w:val="single" w:color="auto" w:sz="4" w:space="0"/>
              <w:left w:val="single" w:color="auto" w:sz="4" w:space="0"/>
              <w:bottom w:val="single" w:color="auto" w:sz="4" w:space="0"/>
              <w:right w:val="single" w:color="auto" w:sz="4" w:space="0"/>
            </w:tcBorders>
            <w:vAlign w:val="center"/>
          </w:tcPr>
          <w:p w14:paraId="130A27B5">
            <w:pPr>
              <w:spacing w:line="360" w:lineRule="auto"/>
              <w:jc w:val="left"/>
              <w:rPr>
                <w:rFonts w:asciiTheme="minorEastAsia" w:hAnsiTheme="minorEastAsia"/>
                <w:kern w:val="0"/>
                <w:sz w:val="22"/>
                <w:szCs w:val="22"/>
              </w:rPr>
            </w:pPr>
            <w:r>
              <w:rPr>
                <w:rFonts w:hint="eastAsia" w:asciiTheme="minorEastAsia" w:hAnsiTheme="minorEastAsia"/>
                <w:kern w:val="0"/>
                <w:sz w:val="22"/>
                <w:szCs w:val="22"/>
              </w:rPr>
              <w:t>自20</w:t>
            </w:r>
            <w:r>
              <w:rPr>
                <w:rFonts w:asciiTheme="minorEastAsia" w:hAnsiTheme="minorEastAsia"/>
                <w:kern w:val="0"/>
                <w:sz w:val="22"/>
                <w:szCs w:val="22"/>
              </w:rPr>
              <w:t>2</w:t>
            </w:r>
            <w:r>
              <w:rPr>
                <w:rFonts w:hint="eastAsia" w:asciiTheme="minorEastAsia" w:hAnsiTheme="minorEastAsia"/>
                <w:kern w:val="0"/>
                <w:sz w:val="22"/>
                <w:szCs w:val="22"/>
              </w:rPr>
              <w:t>1年1月1日以来（以合同签订时间为准），投标人具有类似项目（医疗信息化类项目）业绩，每提供一项业绩得3分，最高得9分。</w:t>
            </w:r>
          </w:p>
          <w:p w14:paraId="28DAB56A">
            <w:pPr>
              <w:spacing w:line="360" w:lineRule="auto"/>
              <w:jc w:val="left"/>
            </w:pPr>
            <w:r>
              <w:rPr>
                <w:rFonts w:hint="eastAsia" w:asciiTheme="minorEastAsia" w:hAnsiTheme="minorEastAsia"/>
                <w:kern w:val="0"/>
                <w:sz w:val="22"/>
                <w:szCs w:val="22"/>
              </w:rPr>
              <w:t>注：</w:t>
            </w:r>
          </w:p>
          <w:p w14:paraId="730109DC">
            <w:pPr>
              <w:spacing w:line="360" w:lineRule="auto"/>
              <w:jc w:val="left"/>
              <w:rPr>
                <w:rFonts w:asciiTheme="minorEastAsia" w:hAnsiTheme="minorEastAsia"/>
                <w:kern w:val="0"/>
                <w:sz w:val="22"/>
                <w:szCs w:val="22"/>
              </w:rPr>
            </w:pPr>
            <w:r>
              <w:rPr>
                <w:rFonts w:hint="eastAsia" w:asciiTheme="minorEastAsia" w:hAnsiTheme="minorEastAsia"/>
                <w:kern w:val="0"/>
                <w:sz w:val="22"/>
                <w:szCs w:val="22"/>
              </w:rPr>
              <w:t>（1）投标文件中提供业绩合同复印件或扫描件或影印件，并加盖投标人公章。若合同证明材料中无法体现签订时间、服务内容等关键评审因素的，须同时提供业主（合同甲方）证明材料，否则不得分。</w:t>
            </w:r>
          </w:p>
          <w:p w14:paraId="1BEF4B71">
            <w:pPr>
              <w:spacing w:line="360" w:lineRule="auto"/>
              <w:jc w:val="left"/>
              <w:rPr>
                <w:rFonts w:hint="eastAsia" w:asciiTheme="minorEastAsia" w:hAnsiTheme="minorEastAsia"/>
                <w:kern w:val="0"/>
                <w:sz w:val="22"/>
                <w:szCs w:val="22"/>
              </w:rPr>
            </w:pPr>
            <w:r>
              <w:rPr>
                <w:rFonts w:hint="eastAsia" w:asciiTheme="minorEastAsia" w:hAnsiTheme="minorEastAsia"/>
                <w:kern w:val="0"/>
                <w:sz w:val="22"/>
                <w:szCs w:val="22"/>
              </w:rPr>
              <w:t>（2）投标文件中提供由业主（合同甲方）出具的合同履约完成或验收报告或履约一年以上的证明材料，需加盖业主（合同甲方）单位公章，否则不得分。</w:t>
            </w:r>
          </w:p>
          <w:p w14:paraId="459C14E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lang w:val="en-US" w:eastAsia="zh-CN"/>
              </w:rPr>
            </w:pPr>
            <w:r>
              <w:rPr>
                <w:rFonts w:hint="eastAsia"/>
                <w:b/>
                <w:bCs/>
                <w:lang w:val="en-US" w:eastAsia="zh-CN"/>
              </w:rPr>
              <w:t>上述材料须同时具备，缺少任一材料则该业绩不得分。</w:t>
            </w:r>
          </w:p>
          <w:p w14:paraId="6EAA862F">
            <w:pPr>
              <w:spacing w:line="360" w:lineRule="auto"/>
              <w:jc w:val="left"/>
            </w:pPr>
            <w:r>
              <w:rPr>
                <w:rFonts w:hint="eastAsia" w:asciiTheme="minorEastAsia" w:hAnsiTheme="minorEastAsia"/>
                <w:kern w:val="0"/>
                <w:sz w:val="22"/>
                <w:szCs w:val="22"/>
                <w:lang w:val="en-US" w:eastAsia="zh-CN"/>
              </w:rPr>
              <w:t>（3）提供的项目业绩只计算评标分值对应的项目数量，按照排列顺序从首个业绩开始评审至对应数量，超出部分不进行评审。对应数量内业绩不符合招标文件要求不得分的，不再补充评审超出部分业绩。如：提供3个业绩即得满分的，按照投标文件排序评审第一、第二、第三项业绩，其余超出部分不再评审。</w:t>
            </w:r>
          </w:p>
        </w:tc>
        <w:tc>
          <w:tcPr>
            <w:tcW w:w="699" w:type="pct"/>
            <w:tcBorders>
              <w:top w:val="single" w:color="auto" w:sz="4" w:space="0"/>
              <w:left w:val="single" w:color="auto" w:sz="4" w:space="0"/>
              <w:bottom w:val="single" w:color="auto" w:sz="4" w:space="0"/>
              <w:right w:val="single" w:color="auto" w:sz="4" w:space="0"/>
            </w:tcBorders>
            <w:vAlign w:val="center"/>
          </w:tcPr>
          <w:p w14:paraId="15860C5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u w:val="none"/>
                <w:lang w:val="en-US" w:eastAsia="zh-CN"/>
              </w:rPr>
              <w:t>9</w:t>
            </w:r>
            <w:r>
              <w:rPr>
                <w:rFonts w:hint="eastAsia" w:asciiTheme="minorEastAsia" w:hAnsiTheme="minorEastAsia" w:eastAsiaTheme="minorEastAsia"/>
                <w:color w:val="auto"/>
                <w:sz w:val="24"/>
                <w:szCs w:val="24"/>
                <w:highlight w:val="none"/>
              </w:rPr>
              <w:t>分</w:t>
            </w:r>
          </w:p>
        </w:tc>
      </w:tr>
      <w:tr w14:paraId="7320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14:paraId="6092F104">
            <w:pPr>
              <w:spacing w:line="360" w:lineRule="auto"/>
              <w:ind w:firstLine="435"/>
              <w:jc w:val="center"/>
              <w:rPr>
                <w:rFonts w:asciiTheme="minorEastAsia" w:hAnsiTheme="minorEastAsia" w:eastAsiaTheme="minorEastAsia"/>
                <w:b/>
                <w:bCs/>
                <w:color w:val="auto"/>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6C0685A9">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lang w:val="en-US" w:eastAsia="zh-CN"/>
              </w:rPr>
              <w:t>企业资信</w:t>
            </w:r>
          </w:p>
        </w:tc>
        <w:tc>
          <w:tcPr>
            <w:tcW w:w="2667" w:type="pct"/>
            <w:tcBorders>
              <w:top w:val="single" w:color="auto" w:sz="4" w:space="0"/>
              <w:left w:val="single" w:color="auto" w:sz="4" w:space="0"/>
              <w:bottom w:val="single" w:color="auto" w:sz="4" w:space="0"/>
              <w:right w:val="single" w:color="auto" w:sz="4" w:space="0"/>
            </w:tcBorders>
            <w:vAlign w:val="center"/>
          </w:tcPr>
          <w:p w14:paraId="7169E9D5">
            <w:pPr>
              <w:spacing w:line="360" w:lineRule="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rPr>
              <w:t>1.投标人具有中国网络安全审查技术与认证中心颁发的信息安全服务资质认证（软件安全开发服务）三级的得1.5分，二级及以上的得3分。</w:t>
            </w:r>
          </w:p>
          <w:p w14:paraId="04F48180">
            <w:pPr>
              <w:spacing w:line="360" w:lineRule="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2.投标人具有中国网络安全审查技术与认证中心颁</w:t>
            </w:r>
            <w:r>
              <w:rPr>
                <w:rFonts w:hint="eastAsia" w:cs="宋体" w:asciiTheme="minorEastAsia" w:hAnsiTheme="minorEastAsia" w:eastAsiaTheme="minorEastAsia"/>
                <w:kern w:val="0"/>
                <w:sz w:val="22"/>
                <w:szCs w:val="22"/>
              </w:rPr>
              <w:t>发的信息安全服务资质认证（安全集成服务）三级的得</w:t>
            </w:r>
            <w:r>
              <w:rPr>
                <w:rFonts w:hint="eastAsia" w:cs="宋体" w:asciiTheme="minorEastAsia" w:hAnsiTheme="minorEastAsia" w:eastAsiaTheme="minorEastAsia"/>
                <w:kern w:val="0"/>
                <w:sz w:val="22"/>
                <w:szCs w:val="22"/>
                <w:highlight w:val="none"/>
              </w:rPr>
              <w:t>1.5分，二级及以上的得3分。</w:t>
            </w:r>
          </w:p>
          <w:p w14:paraId="74413B3A">
            <w:pPr>
              <w:spacing w:line="360" w:lineRule="auto"/>
              <w:rPr>
                <w:rFonts w:cs="宋体" w:asciiTheme="minorEastAsia" w:hAnsiTheme="minorEastAsia" w:eastAsiaTheme="minorEastAsia"/>
                <w:kern w:val="0"/>
                <w:sz w:val="22"/>
                <w:szCs w:val="22"/>
                <w:highlight w:val="none"/>
              </w:rPr>
            </w:pPr>
            <w:r>
              <w:rPr>
                <w:rFonts w:hint="eastAsia" w:cs="宋体" w:asciiTheme="minorEastAsia" w:hAnsiTheme="minorEastAsia" w:eastAsiaTheme="minorEastAsia"/>
                <w:kern w:val="0"/>
                <w:sz w:val="22"/>
                <w:szCs w:val="22"/>
                <w:highlight w:val="none"/>
              </w:rPr>
              <w:t>3.投标人软件能力成熟度达到 CMMI5 级及以上得3 分，CMMI4 级得 2 分，CMMI3 级及以下得 1 分。</w:t>
            </w:r>
          </w:p>
          <w:p w14:paraId="39915910">
            <w:pPr>
              <w:spacing w:line="360" w:lineRule="auto"/>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kern w:val="0"/>
                <w:sz w:val="22"/>
                <w:szCs w:val="22"/>
              </w:rPr>
              <w:t>注：投标文件中提供上述证书的扫描件并加盖公章，未提供的不得分。</w:t>
            </w:r>
          </w:p>
        </w:tc>
        <w:tc>
          <w:tcPr>
            <w:tcW w:w="699" w:type="pct"/>
            <w:tcBorders>
              <w:top w:val="single" w:color="auto" w:sz="4" w:space="0"/>
              <w:left w:val="single" w:color="auto" w:sz="4" w:space="0"/>
              <w:bottom w:val="single" w:color="auto" w:sz="4" w:space="0"/>
              <w:right w:val="single" w:color="auto" w:sz="4" w:space="0"/>
            </w:tcBorders>
            <w:vAlign w:val="center"/>
          </w:tcPr>
          <w:p w14:paraId="1318F73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u w:val="none"/>
                <w:lang w:val="en-US" w:eastAsia="zh-CN"/>
              </w:rPr>
              <w:t>9</w:t>
            </w:r>
            <w:r>
              <w:rPr>
                <w:rFonts w:hint="eastAsia" w:asciiTheme="minorEastAsia" w:hAnsiTheme="minorEastAsia" w:eastAsiaTheme="minorEastAsia"/>
                <w:color w:val="auto"/>
                <w:sz w:val="24"/>
                <w:szCs w:val="24"/>
                <w:highlight w:val="none"/>
                <w:u w:val="none"/>
              </w:rPr>
              <w:t>分</w:t>
            </w:r>
          </w:p>
        </w:tc>
      </w:tr>
      <w:tr w14:paraId="53C3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14:paraId="7B5A1C9C">
            <w:pPr>
              <w:spacing w:line="360" w:lineRule="auto"/>
              <w:ind w:firstLine="435"/>
              <w:jc w:val="center"/>
              <w:rPr>
                <w:rFonts w:asciiTheme="minorEastAsia" w:hAnsiTheme="minorEastAsia" w:eastAsiaTheme="minorEastAsia"/>
                <w:b/>
                <w:bCs/>
                <w:color w:val="auto"/>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396BA0C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体系认证</w:t>
            </w:r>
          </w:p>
        </w:tc>
        <w:tc>
          <w:tcPr>
            <w:tcW w:w="2667" w:type="pct"/>
            <w:tcBorders>
              <w:top w:val="single" w:color="auto" w:sz="4" w:space="0"/>
              <w:left w:val="single" w:color="auto" w:sz="4" w:space="0"/>
              <w:bottom w:val="single" w:color="auto" w:sz="4" w:space="0"/>
              <w:right w:val="single" w:color="auto" w:sz="4" w:space="0"/>
            </w:tcBorders>
            <w:vAlign w:val="center"/>
          </w:tcPr>
          <w:p w14:paraId="329639FF">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投标人具有经中国国家认证认可监督管理委员会认证机构颁发有效的：</w:t>
            </w:r>
          </w:p>
          <w:p w14:paraId="12FD0E3F">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1.信息技术服务管理体系认证证书；</w:t>
            </w:r>
          </w:p>
          <w:p w14:paraId="6ADDE11B">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2.信息安全管理体系认证证书；</w:t>
            </w:r>
          </w:p>
          <w:p w14:paraId="2BA74492">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3.履约能力评价服务认证证书。</w:t>
            </w:r>
          </w:p>
          <w:p w14:paraId="486A5A7A">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每提供一个认证证书得1分，最高得3分。</w:t>
            </w:r>
          </w:p>
          <w:p w14:paraId="25FF47CD">
            <w:pPr>
              <w:spacing w:line="360" w:lineRule="auto"/>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kern w:val="0"/>
                <w:sz w:val="22"/>
                <w:szCs w:val="22"/>
              </w:rPr>
              <w:t>注：响应文件中提供上述证书的扫描件，以及全国认证认可信息公共服务平台官网证书信息查询截图，未提供或提供不全的不得分。</w:t>
            </w:r>
          </w:p>
        </w:tc>
        <w:tc>
          <w:tcPr>
            <w:tcW w:w="699" w:type="pct"/>
            <w:tcBorders>
              <w:top w:val="single" w:color="auto" w:sz="4" w:space="0"/>
              <w:left w:val="single" w:color="auto" w:sz="4" w:space="0"/>
              <w:bottom w:val="single" w:color="auto" w:sz="4" w:space="0"/>
              <w:right w:val="single" w:color="auto" w:sz="4" w:space="0"/>
            </w:tcBorders>
            <w:vAlign w:val="center"/>
          </w:tcPr>
          <w:p w14:paraId="78DEE00E">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分</w:t>
            </w:r>
          </w:p>
        </w:tc>
      </w:tr>
      <w:tr w14:paraId="2C75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8" w:type="pct"/>
            <w:vMerge w:val="continue"/>
            <w:tcBorders>
              <w:left w:val="single" w:color="auto" w:sz="4" w:space="0"/>
              <w:right w:val="single" w:color="auto" w:sz="4" w:space="0"/>
            </w:tcBorders>
            <w:vAlign w:val="center"/>
          </w:tcPr>
          <w:p w14:paraId="50895D71">
            <w:pPr>
              <w:spacing w:line="360" w:lineRule="auto"/>
              <w:ind w:firstLine="435"/>
              <w:jc w:val="center"/>
              <w:rPr>
                <w:rFonts w:asciiTheme="minorEastAsia" w:hAnsiTheme="minorEastAsia" w:eastAsiaTheme="minorEastAsia"/>
                <w:b/>
                <w:bCs/>
                <w:color w:val="auto"/>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59072C2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项目团队</w:t>
            </w:r>
          </w:p>
        </w:tc>
        <w:tc>
          <w:tcPr>
            <w:tcW w:w="2667" w:type="pct"/>
            <w:tcBorders>
              <w:top w:val="single" w:color="auto" w:sz="4" w:space="0"/>
              <w:left w:val="single" w:color="auto" w:sz="4" w:space="0"/>
              <w:bottom w:val="single" w:color="auto" w:sz="4" w:space="0"/>
              <w:right w:val="single" w:color="auto" w:sz="4" w:space="0"/>
            </w:tcBorders>
            <w:vAlign w:val="center"/>
          </w:tcPr>
          <w:p w14:paraId="0CBA3442">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1.项目经理（1人）： </w:t>
            </w:r>
          </w:p>
          <w:p w14:paraId="788FC4AC">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具有信息系统项目管理师证书或系统集成项目管理工程师证书的，得4分，本项最高得4分。</w:t>
            </w:r>
          </w:p>
          <w:p w14:paraId="493B759B">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2.技术负责人（1人）： </w:t>
            </w:r>
          </w:p>
          <w:p w14:paraId="007E9844">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具有软件工程师证书或数据库管理工程师的，得3分，本项最高得3分。</w:t>
            </w:r>
          </w:p>
          <w:p w14:paraId="44C657AD">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3.安全负责人（1人）： </w:t>
            </w:r>
          </w:p>
          <w:p w14:paraId="720CE9CF">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具有注册信息安全管理人员证书或信息安全管理工程师证书的，得3分，本项最高得3分。</w:t>
            </w:r>
          </w:p>
          <w:p w14:paraId="4A07D8B5">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4.其他人员（不含项目经理、技术负责人和安全负责人）：</w:t>
            </w:r>
          </w:p>
          <w:p w14:paraId="5BA6D3D0">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具有有软件设计师证书、系统分析师证书、软件测试工程师证书、数据库系统工程师证书、注册信息安全开发人员（CISD）证书，每提供一个证书得2分，最高得10分。</w:t>
            </w:r>
          </w:p>
          <w:p w14:paraId="55641215">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注：上述人员不得兼任，同一人具有多个证书不可重复计分，投标文件中同时提供以下证明材料：</w:t>
            </w:r>
          </w:p>
          <w:p w14:paraId="76148E98">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（1）上述人员证书扫描件并加盖公章；</w:t>
            </w:r>
          </w:p>
          <w:p w14:paraId="1DCE6813">
            <w:pPr>
              <w:spacing w:line="360" w:lineRule="auto"/>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（2）人员名单（格式自拟）；</w:t>
            </w:r>
          </w:p>
          <w:p w14:paraId="5A13F5DB">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highlight w:val="none"/>
              </w:rPr>
            </w:pPr>
            <w:r>
              <w:rPr>
                <w:rFonts w:hint="eastAsia" w:cs="宋体" w:asciiTheme="minorEastAsia" w:hAnsiTheme="minorEastAsia" w:eastAsiaTheme="minorEastAsia"/>
                <w:kern w:val="0"/>
                <w:sz w:val="22"/>
                <w:szCs w:val="22"/>
              </w:rPr>
              <w:t>（3）投标人为上述人员缴纳的</w:t>
            </w:r>
            <w:r>
              <w:rPr>
                <w:rFonts w:hint="eastAsia" w:cs="宋体" w:asciiTheme="minorEastAsia" w:hAnsiTheme="minorEastAsia" w:eastAsiaTheme="minorEastAsia"/>
                <w:kern w:val="0"/>
                <w:sz w:val="22"/>
                <w:szCs w:val="22"/>
                <w:lang w:val="en-US" w:eastAsia="zh-CN"/>
              </w:rPr>
              <w:t>投标截止时间</w:t>
            </w:r>
            <w:r>
              <w:rPr>
                <w:rFonts w:hint="eastAsia" w:cs="宋体" w:asciiTheme="minorEastAsia" w:hAnsiTheme="minorEastAsia" w:eastAsiaTheme="minorEastAsia"/>
                <w:kern w:val="0"/>
                <w:sz w:val="22"/>
                <w:szCs w:val="22"/>
              </w:rPr>
              <w:t>近</w:t>
            </w:r>
            <w:r>
              <w:rPr>
                <w:rFonts w:cs="宋体"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个月内任意</w:t>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个月的社保证明材料并加盖公章。</w:t>
            </w:r>
          </w:p>
        </w:tc>
        <w:tc>
          <w:tcPr>
            <w:tcW w:w="699" w:type="pct"/>
            <w:tcBorders>
              <w:top w:val="single" w:color="auto" w:sz="4" w:space="0"/>
              <w:left w:val="single" w:color="auto" w:sz="4" w:space="0"/>
              <w:bottom w:val="single" w:color="auto" w:sz="4" w:space="0"/>
              <w:right w:val="single" w:color="auto" w:sz="4" w:space="0"/>
            </w:tcBorders>
            <w:vAlign w:val="center"/>
          </w:tcPr>
          <w:p w14:paraId="06FA3B9C">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u w:val="none"/>
                <w:lang w:val="en-US" w:eastAsia="zh-CN"/>
              </w:rPr>
              <w:t>20</w:t>
            </w:r>
            <w:r>
              <w:rPr>
                <w:rFonts w:hint="eastAsia" w:asciiTheme="minorEastAsia" w:hAnsiTheme="minorEastAsia" w:eastAsiaTheme="minorEastAsia"/>
                <w:color w:val="auto"/>
                <w:sz w:val="24"/>
                <w:szCs w:val="24"/>
                <w:highlight w:val="none"/>
              </w:rPr>
              <w:t>分</w:t>
            </w:r>
          </w:p>
        </w:tc>
      </w:tr>
      <w:tr w14:paraId="06C4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14:paraId="6F69F920">
            <w:pPr>
              <w:spacing w:line="360" w:lineRule="auto"/>
              <w:ind w:firstLine="435"/>
              <w:jc w:val="center"/>
              <w:rPr>
                <w:rFonts w:asciiTheme="minorEastAsia" w:hAnsiTheme="minorEastAsia" w:eastAsiaTheme="minorEastAsia"/>
                <w:b/>
                <w:bCs/>
                <w:color w:val="auto"/>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7D0E007F">
            <w:pPr>
              <w:spacing w:line="360" w:lineRule="auto"/>
              <w:jc w:val="center"/>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技术参数响应</w:t>
            </w:r>
          </w:p>
        </w:tc>
        <w:tc>
          <w:tcPr>
            <w:tcW w:w="2667" w:type="pct"/>
            <w:tcBorders>
              <w:top w:val="single" w:color="auto" w:sz="4" w:space="0"/>
              <w:left w:val="single" w:color="auto" w:sz="4" w:space="0"/>
              <w:bottom w:val="single" w:color="auto" w:sz="4" w:space="0"/>
              <w:right w:val="single" w:color="auto" w:sz="4" w:space="0"/>
            </w:tcBorders>
            <w:vAlign w:val="center"/>
          </w:tcPr>
          <w:p w14:paraId="453F2B01">
            <w:pPr>
              <w:spacing w:line="360" w:lineRule="auto"/>
              <w:rPr>
                <w:rFonts w:ascii="宋体" w:hAnsi="宋体"/>
                <w:sz w:val="22"/>
                <w:szCs w:val="22"/>
                <w:highlight w:val="none"/>
              </w:rPr>
            </w:pPr>
            <w:r>
              <w:rPr>
                <w:rFonts w:hint="eastAsia" w:ascii="宋体" w:hAnsi="宋体"/>
                <w:sz w:val="22"/>
                <w:szCs w:val="22"/>
              </w:rPr>
              <w:t>标“★”的技术功能要求为重要参数，需按要求提供证</w:t>
            </w:r>
            <w:r>
              <w:rPr>
                <w:rFonts w:hint="eastAsia" w:ascii="宋体" w:hAnsi="宋体"/>
                <w:sz w:val="22"/>
                <w:szCs w:val="22"/>
                <w:highlight w:val="none"/>
              </w:rPr>
              <w:t>明材料并加盖投标人公章，每有一条负偏离或未响应的扣</w:t>
            </w:r>
            <w:r>
              <w:rPr>
                <w:rFonts w:hint="eastAsia" w:ascii="宋体" w:hAnsi="宋体"/>
                <w:sz w:val="22"/>
                <w:szCs w:val="22"/>
                <w:highlight w:val="none"/>
                <w:lang w:val="en-US" w:eastAsia="zh-CN"/>
              </w:rPr>
              <w:t>2</w:t>
            </w:r>
            <w:r>
              <w:rPr>
                <w:rFonts w:hint="eastAsia" w:ascii="宋体" w:hAnsi="宋体"/>
                <w:sz w:val="22"/>
                <w:szCs w:val="22"/>
                <w:highlight w:val="none"/>
              </w:rPr>
              <w:t>分；未标“★”的技术功能要求为一般参数，每有一条负偏离或未响应扣</w:t>
            </w:r>
            <w:r>
              <w:rPr>
                <w:rFonts w:hint="eastAsia" w:ascii="宋体" w:hAnsi="宋体"/>
                <w:sz w:val="22"/>
                <w:szCs w:val="22"/>
                <w:highlight w:val="none"/>
                <w:lang w:val="en-US" w:eastAsia="zh-CN"/>
              </w:rPr>
              <w:t>1</w:t>
            </w:r>
            <w:r>
              <w:rPr>
                <w:rFonts w:hint="eastAsia" w:ascii="宋体" w:hAnsi="宋体"/>
                <w:sz w:val="22"/>
                <w:szCs w:val="22"/>
                <w:highlight w:val="none"/>
              </w:rPr>
              <w:t>分。</w:t>
            </w:r>
          </w:p>
          <w:p w14:paraId="20D90846">
            <w:pPr>
              <w:spacing w:line="360" w:lineRule="auto"/>
              <w:rPr>
                <w:rFonts w:ascii="宋体" w:hAnsi="宋体"/>
                <w:sz w:val="22"/>
                <w:szCs w:val="22"/>
              </w:rPr>
            </w:pPr>
            <w:r>
              <w:rPr>
                <w:rFonts w:ascii="宋体" w:hAnsi="宋体"/>
                <w:sz w:val="22"/>
                <w:szCs w:val="22"/>
              </w:rPr>
              <w:t>本项共</w:t>
            </w:r>
            <w:r>
              <w:rPr>
                <w:rFonts w:hint="eastAsia" w:ascii="宋体" w:hAnsi="宋体"/>
                <w:sz w:val="22"/>
                <w:szCs w:val="22"/>
              </w:rPr>
              <w:t>34</w:t>
            </w:r>
            <w:r>
              <w:rPr>
                <w:rFonts w:ascii="宋体" w:hAnsi="宋体"/>
                <w:sz w:val="22"/>
                <w:szCs w:val="22"/>
              </w:rPr>
              <w:t>分，扣完为止。</w:t>
            </w:r>
          </w:p>
          <w:p w14:paraId="333C6D88">
            <w:pPr>
              <w:spacing w:line="360" w:lineRule="auto"/>
              <w:rPr>
                <w:rFonts w:asciiTheme="minorEastAsia" w:hAnsiTheme="minorEastAsia" w:eastAsiaTheme="minorEastAsia"/>
                <w:color w:val="auto"/>
                <w:sz w:val="24"/>
                <w:highlight w:val="none"/>
              </w:rPr>
            </w:pPr>
            <w:r>
              <w:rPr>
                <w:rFonts w:ascii="宋体" w:hAnsi="宋体"/>
                <w:sz w:val="22"/>
                <w:szCs w:val="22"/>
              </w:rPr>
              <w:t>注：以服务要求响应表内容为准，要求投标文件中提供证明材料</w:t>
            </w:r>
            <w:r>
              <w:rPr>
                <w:rFonts w:hint="eastAsia" w:ascii="宋体" w:hAnsi="宋体"/>
                <w:sz w:val="22"/>
                <w:szCs w:val="22"/>
              </w:rPr>
              <w:t>的</w:t>
            </w:r>
            <w:r>
              <w:rPr>
                <w:rFonts w:ascii="宋体" w:hAnsi="宋体"/>
                <w:sz w:val="22"/>
                <w:szCs w:val="22"/>
              </w:rPr>
              <w:t>，投标人未提供或</w:t>
            </w:r>
            <w:r>
              <w:rPr>
                <w:rFonts w:hint="eastAsia" w:ascii="宋体" w:hAnsi="宋体"/>
                <w:sz w:val="22"/>
                <w:szCs w:val="22"/>
              </w:rPr>
              <w:t>提供的</w:t>
            </w:r>
            <w:r>
              <w:rPr>
                <w:rFonts w:ascii="宋体" w:hAnsi="宋体"/>
                <w:sz w:val="22"/>
                <w:szCs w:val="22"/>
              </w:rPr>
              <w:t>证明材料无法证明该</w:t>
            </w:r>
            <w:r>
              <w:rPr>
                <w:rFonts w:hint="eastAsia" w:ascii="宋体" w:hAnsi="宋体"/>
                <w:sz w:val="22"/>
                <w:szCs w:val="22"/>
              </w:rPr>
              <w:t>项功能</w:t>
            </w:r>
            <w:r>
              <w:rPr>
                <w:rFonts w:ascii="宋体" w:hAnsi="宋体"/>
                <w:sz w:val="22"/>
                <w:szCs w:val="22"/>
              </w:rPr>
              <w:t>响应情况的，则该项参数按负偏离扣分。</w:t>
            </w:r>
          </w:p>
        </w:tc>
        <w:tc>
          <w:tcPr>
            <w:tcW w:w="699" w:type="pct"/>
            <w:tcBorders>
              <w:top w:val="single" w:color="auto" w:sz="4" w:space="0"/>
              <w:left w:val="single" w:color="auto" w:sz="4" w:space="0"/>
              <w:bottom w:val="single" w:color="auto" w:sz="4" w:space="0"/>
              <w:right w:val="single" w:color="auto" w:sz="4" w:space="0"/>
            </w:tcBorders>
            <w:vAlign w:val="center"/>
          </w:tcPr>
          <w:p w14:paraId="5C7B6262">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rPr>
              <w:t>0-</w:t>
            </w:r>
            <w:r>
              <w:rPr>
                <w:rFonts w:hint="eastAsia" w:cs="宋体" w:asciiTheme="minorEastAsia" w:hAnsiTheme="minorEastAsia" w:eastAsiaTheme="minorEastAsia"/>
                <w:color w:val="auto"/>
                <w:sz w:val="24"/>
                <w:szCs w:val="24"/>
                <w:highlight w:val="none"/>
                <w:u w:val="none"/>
                <w:lang w:val="en-US" w:eastAsia="zh-CN"/>
              </w:rPr>
              <w:t>34</w:t>
            </w:r>
            <w:r>
              <w:rPr>
                <w:rFonts w:hint="eastAsia" w:asciiTheme="minorEastAsia" w:hAnsiTheme="minorEastAsia" w:eastAsiaTheme="minorEastAsia"/>
                <w:color w:val="auto"/>
                <w:sz w:val="24"/>
                <w:szCs w:val="24"/>
                <w:highlight w:val="none"/>
              </w:rPr>
              <w:t>分</w:t>
            </w:r>
          </w:p>
        </w:tc>
      </w:tr>
      <w:tr w14:paraId="42B4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14:paraId="1B7CFA24">
            <w:pPr>
              <w:spacing w:line="360" w:lineRule="auto"/>
              <w:ind w:firstLine="435"/>
              <w:jc w:val="center"/>
              <w:rPr>
                <w:rFonts w:asciiTheme="minorEastAsia" w:hAnsiTheme="minorEastAsia" w:eastAsiaTheme="minorEastAsia"/>
                <w:b/>
                <w:bCs/>
                <w:color w:val="auto"/>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556E729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实施方案</w:t>
            </w:r>
          </w:p>
        </w:tc>
        <w:tc>
          <w:tcPr>
            <w:tcW w:w="2667" w:type="pct"/>
            <w:tcBorders>
              <w:top w:val="single" w:color="auto" w:sz="4" w:space="0"/>
              <w:left w:val="single" w:color="auto" w:sz="4" w:space="0"/>
              <w:bottom w:val="single" w:color="auto" w:sz="4" w:space="0"/>
              <w:right w:val="single" w:color="auto" w:sz="4" w:space="0"/>
            </w:tcBorders>
            <w:vAlign w:val="center"/>
          </w:tcPr>
          <w:p w14:paraId="628968F1">
            <w:pPr>
              <w:spacing w:line="360" w:lineRule="auto"/>
              <w:rPr>
                <w:rFonts w:ascii="宋体" w:hAnsi="宋体"/>
                <w:sz w:val="22"/>
                <w:szCs w:val="22"/>
              </w:rPr>
            </w:pPr>
            <w:r>
              <w:rPr>
                <w:rFonts w:hint="eastAsia" w:ascii="宋体" w:hAnsi="宋体"/>
                <w:sz w:val="22"/>
                <w:szCs w:val="22"/>
              </w:rPr>
              <w:t>投标人结合项目特点，提供项目实施方案（至少包括项目实施计划、项目组织架构、项目实施管理、进度控制、质量保障措施、风险控制措施等内容），由评委进行综合评审。</w:t>
            </w:r>
          </w:p>
          <w:p w14:paraId="0BD57000">
            <w:pPr>
              <w:spacing w:line="360" w:lineRule="auto"/>
              <w:rPr>
                <w:rFonts w:ascii="宋体" w:hAnsi="宋体"/>
                <w:sz w:val="22"/>
                <w:szCs w:val="22"/>
              </w:rPr>
            </w:pPr>
            <w:r>
              <w:rPr>
                <w:rFonts w:hint="eastAsia" w:ascii="宋体" w:hAnsi="宋体"/>
                <w:sz w:val="22"/>
                <w:szCs w:val="22"/>
              </w:rPr>
              <w:t>（1）实施方案科学、完整、描述清晰、可行性强的，得 5 分；</w:t>
            </w:r>
          </w:p>
          <w:p w14:paraId="78E3922D">
            <w:pPr>
              <w:spacing w:line="360" w:lineRule="auto"/>
              <w:rPr>
                <w:rFonts w:ascii="宋体" w:hAnsi="宋体"/>
                <w:sz w:val="22"/>
                <w:szCs w:val="22"/>
              </w:rPr>
            </w:pPr>
            <w:r>
              <w:rPr>
                <w:rFonts w:hint="eastAsia" w:ascii="宋体" w:hAnsi="宋体"/>
                <w:sz w:val="22"/>
                <w:szCs w:val="22"/>
              </w:rPr>
              <w:t>（2）实施方案较为科学、完整、描述基本清晰、可行性较强的，得 3 分；</w:t>
            </w:r>
          </w:p>
          <w:p w14:paraId="554D11C9">
            <w:pPr>
              <w:spacing w:line="360" w:lineRule="auto"/>
              <w:rPr>
                <w:rFonts w:hint="eastAsia" w:ascii="宋体" w:hAnsi="宋体" w:eastAsia="宋体"/>
                <w:sz w:val="22"/>
                <w:szCs w:val="22"/>
                <w:lang w:eastAsia="zh-CN"/>
              </w:rPr>
            </w:pPr>
            <w:r>
              <w:rPr>
                <w:rFonts w:hint="eastAsia" w:ascii="宋体" w:hAnsi="宋体"/>
                <w:sz w:val="22"/>
                <w:szCs w:val="22"/>
              </w:rPr>
              <w:t>（3）实施方案不够科学、完整、描述不够清晰、可行性有待提高的，得 1 分</w:t>
            </w:r>
            <w:r>
              <w:rPr>
                <w:rFonts w:hint="eastAsia" w:ascii="宋体" w:hAnsi="宋体"/>
                <w:sz w:val="22"/>
                <w:szCs w:val="22"/>
                <w:lang w:eastAsia="zh-CN"/>
              </w:rPr>
              <w:t>；</w:t>
            </w:r>
          </w:p>
          <w:p w14:paraId="3F070F07">
            <w:pPr>
              <w:spacing w:line="360" w:lineRule="auto"/>
              <w:rPr>
                <w:rFonts w:asciiTheme="minorEastAsia" w:hAnsiTheme="minorEastAsia" w:eastAsiaTheme="minorEastAsia"/>
                <w:color w:val="auto"/>
                <w:sz w:val="24"/>
                <w:highlight w:val="none"/>
              </w:rPr>
            </w:pPr>
            <w:r>
              <w:rPr>
                <w:rFonts w:hint="eastAsia" w:ascii="宋体" w:hAnsi="宋体"/>
                <w:sz w:val="22"/>
                <w:szCs w:val="22"/>
              </w:rPr>
              <w:t>（4）未提供方案的，不得分。</w:t>
            </w:r>
          </w:p>
        </w:tc>
        <w:tc>
          <w:tcPr>
            <w:tcW w:w="699" w:type="pct"/>
            <w:tcBorders>
              <w:top w:val="single" w:color="auto" w:sz="4" w:space="0"/>
              <w:left w:val="single" w:color="auto" w:sz="4" w:space="0"/>
              <w:bottom w:val="single" w:color="auto" w:sz="4" w:space="0"/>
              <w:right w:val="single" w:color="auto" w:sz="4" w:space="0"/>
            </w:tcBorders>
            <w:vAlign w:val="center"/>
          </w:tcPr>
          <w:p w14:paraId="3602017E">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0-5分</w:t>
            </w:r>
          </w:p>
        </w:tc>
      </w:tr>
      <w:tr w14:paraId="5B13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14:paraId="6DC97A11">
            <w:pPr>
              <w:spacing w:line="360" w:lineRule="auto"/>
              <w:ind w:firstLine="435"/>
              <w:jc w:val="center"/>
              <w:rPr>
                <w:rFonts w:asciiTheme="minorEastAsia" w:hAnsiTheme="minorEastAsia" w:eastAsiaTheme="minorEastAsia"/>
                <w:b/>
                <w:bCs/>
                <w:color w:val="auto"/>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5BB59EE9">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售后</w:t>
            </w:r>
          </w:p>
          <w:p w14:paraId="2682F935">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服务方案</w:t>
            </w:r>
          </w:p>
        </w:tc>
        <w:tc>
          <w:tcPr>
            <w:tcW w:w="2667" w:type="pct"/>
            <w:tcBorders>
              <w:top w:val="single" w:color="auto" w:sz="4" w:space="0"/>
              <w:left w:val="single" w:color="auto" w:sz="4" w:space="0"/>
              <w:bottom w:val="single" w:color="auto" w:sz="4" w:space="0"/>
              <w:right w:val="single" w:color="auto" w:sz="4" w:space="0"/>
            </w:tcBorders>
            <w:vAlign w:val="center"/>
          </w:tcPr>
          <w:p w14:paraId="2F8206A4">
            <w:pPr>
              <w:spacing w:line="360" w:lineRule="auto"/>
              <w:rPr>
                <w:rFonts w:ascii="宋体" w:hAnsi="宋体"/>
                <w:sz w:val="22"/>
                <w:szCs w:val="22"/>
              </w:rPr>
            </w:pPr>
            <w:r>
              <w:rPr>
                <w:rFonts w:hint="eastAsia" w:ascii="宋体" w:hAnsi="宋体"/>
                <w:sz w:val="22"/>
                <w:szCs w:val="22"/>
              </w:rPr>
              <w:t>根据投标人投标文件中提供的售后服务方案情况（</w:t>
            </w:r>
            <w:r>
              <w:rPr>
                <w:rFonts w:hint="eastAsia" w:ascii="宋体" w:hAnsi="宋体"/>
                <w:sz w:val="22"/>
                <w:szCs w:val="22"/>
                <w:lang w:val="en-US" w:eastAsia="zh-CN"/>
              </w:rPr>
              <w:t>内容</w:t>
            </w:r>
            <w:r>
              <w:rPr>
                <w:rFonts w:hint="eastAsia" w:ascii="宋体" w:hAnsi="宋体"/>
                <w:sz w:val="22"/>
                <w:szCs w:val="22"/>
              </w:rPr>
              <w:t>包括：服务承诺、服务体系、服务流程、运行和维护能力、应急响应措施、本地化服务能力等），由评标委员会进行综合评审。</w:t>
            </w:r>
          </w:p>
          <w:p w14:paraId="051FD180">
            <w:pPr>
              <w:spacing w:line="360" w:lineRule="auto"/>
              <w:rPr>
                <w:rFonts w:ascii="宋体" w:hAnsi="宋体"/>
                <w:sz w:val="22"/>
                <w:szCs w:val="22"/>
              </w:rPr>
            </w:pPr>
            <w:r>
              <w:rPr>
                <w:rFonts w:hint="eastAsia" w:ascii="宋体" w:hAnsi="宋体"/>
                <w:sz w:val="22"/>
                <w:szCs w:val="22"/>
              </w:rPr>
              <w:t>（1）售后服务方案全面、合理、切实可行的，</w:t>
            </w:r>
            <w:r>
              <w:rPr>
                <w:rFonts w:hint="eastAsia" w:ascii="宋体" w:hAnsi="宋体"/>
                <w:sz w:val="22"/>
                <w:szCs w:val="22"/>
                <w:lang w:val="en-US" w:eastAsia="zh-CN"/>
              </w:rPr>
              <w:t>0-5分</w:t>
            </w:r>
            <w:r>
              <w:rPr>
                <w:rFonts w:hint="eastAsia" w:ascii="宋体" w:hAnsi="宋体"/>
                <w:sz w:val="22"/>
                <w:szCs w:val="22"/>
              </w:rPr>
              <w:t>得 5 分；</w:t>
            </w:r>
          </w:p>
          <w:p w14:paraId="167808C4">
            <w:pPr>
              <w:spacing w:line="360" w:lineRule="auto"/>
              <w:rPr>
                <w:rFonts w:ascii="宋体" w:hAnsi="宋体"/>
                <w:sz w:val="22"/>
                <w:szCs w:val="22"/>
              </w:rPr>
            </w:pPr>
            <w:r>
              <w:rPr>
                <w:rFonts w:hint="eastAsia" w:ascii="宋体" w:hAnsi="宋体"/>
                <w:sz w:val="22"/>
                <w:szCs w:val="22"/>
              </w:rPr>
              <w:t>（2）售后服务方案较为全面、合理、切实可行的，得 3 分；</w:t>
            </w:r>
          </w:p>
          <w:p w14:paraId="36763768">
            <w:pPr>
              <w:spacing w:line="360" w:lineRule="auto"/>
              <w:rPr>
                <w:rFonts w:ascii="宋体" w:hAnsi="宋体"/>
                <w:sz w:val="22"/>
                <w:szCs w:val="22"/>
              </w:rPr>
            </w:pPr>
            <w:r>
              <w:rPr>
                <w:rFonts w:hint="eastAsia" w:ascii="宋体" w:hAnsi="宋体"/>
                <w:sz w:val="22"/>
                <w:szCs w:val="22"/>
              </w:rPr>
              <w:t>（3）售后服务方案全面性、合理性、可行性有待提高的，得 1 分。</w:t>
            </w:r>
          </w:p>
          <w:p w14:paraId="47B65B92">
            <w:pPr>
              <w:spacing w:line="360" w:lineRule="auto"/>
              <w:rPr>
                <w:rFonts w:asciiTheme="minorEastAsia" w:hAnsiTheme="minorEastAsia" w:eastAsiaTheme="minorEastAsia"/>
                <w:color w:val="auto"/>
                <w:sz w:val="24"/>
                <w:highlight w:val="none"/>
              </w:rPr>
            </w:pPr>
            <w:r>
              <w:rPr>
                <w:rFonts w:hint="eastAsia" w:ascii="宋体" w:hAnsi="宋体"/>
                <w:sz w:val="22"/>
                <w:szCs w:val="22"/>
              </w:rPr>
              <w:t>（4）未提供方案的，不得分。</w:t>
            </w:r>
          </w:p>
        </w:tc>
        <w:tc>
          <w:tcPr>
            <w:tcW w:w="699" w:type="pct"/>
            <w:tcBorders>
              <w:top w:val="single" w:color="auto" w:sz="4" w:space="0"/>
              <w:left w:val="single" w:color="auto" w:sz="4" w:space="0"/>
              <w:bottom w:val="single" w:color="auto" w:sz="4" w:space="0"/>
              <w:right w:val="single" w:color="auto" w:sz="4" w:space="0"/>
            </w:tcBorders>
            <w:vAlign w:val="center"/>
          </w:tcPr>
          <w:p w14:paraId="47A459C8">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0-5分</w:t>
            </w:r>
          </w:p>
        </w:tc>
      </w:tr>
      <w:tr w14:paraId="65FE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vMerge w:val="continue"/>
            <w:tcBorders>
              <w:left w:val="single" w:color="auto" w:sz="4" w:space="0"/>
              <w:right w:val="single" w:color="auto" w:sz="4" w:space="0"/>
            </w:tcBorders>
            <w:vAlign w:val="center"/>
          </w:tcPr>
          <w:p w14:paraId="1ACF043C">
            <w:pPr>
              <w:spacing w:line="360" w:lineRule="auto"/>
              <w:ind w:firstLine="435"/>
              <w:jc w:val="center"/>
              <w:rPr>
                <w:rFonts w:asciiTheme="minorEastAsia" w:hAnsiTheme="minorEastAsia" w:eastAsiaTheme="minorEastAsia"/>
                <w:b/>
                <w:bCs/>
                <w:color w:val="auto"/>
                <w:sz w:val="24"/>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14:paraId="0E38A848">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培训方案</w:t>
            </w:r>
          </w:p>
        </w:tc>
        <w:tc>
          <w:tcPr>
            <w:tcW w:w="2667" w:type="pct"/>
            <w:tcBorders>
              <w:top w:val="single" w:color="auto" w:sz="4" w:space="0"/>
              <w:left w:val="single" w:color="auto" w:sz="4" w:space="0"/>
              <w:bottom w:val="single" w:color="auto" w:sz="4" w:space="0"/>
              <w:right w:val="single" w:color="auto" w:sz="4" w:space="0"/>
            </w:tcBorders>
            <w:vAlign w:val="center"/>
          </w:tcPr>
          <w:p w14:paraId="1276AEC2">
            <w:pPr>
              <w:spacing w:line="360" w:lineRule="auto"/>
              <w:rPr>
                <w:rFonts w:ascii="宋体" w:hAnsi="宋体"/>
                <w:sz w:val="22"/>
                <w:szCs w:val="22"/>
              </w:rPr>
            </w:pPr>
            <w:r>
              <w:rPr>
                <w:rFonts w:hint="eastAsia" w:ascii="宋体" w:hAnsi="宋体"/>
                <w:sz w:val="22"/>
                <w:szCs w:val="22"/>
              </w:rPr>
              <w:t>投标人结合项目特点，提供完整的项目培训方案（包括培训内容、培训计划、培训方式、培训组织与实施等内容），由评委进行综合评审。</w:t>
            </w:r>
          </w:p>
          <w:p w14:paraId="5F13E3D7">
            <w:pPr>
              <w:spacing w:line="360" w:lineRule="auto"/>
              <w:rPr>
                <w:rFonts w:ascii="宋体" w:hAnsi="宋体"/>
                <w:sz w:val="22"/>
                <w:szCs w:val="22"/>
              </w:rPr>
            </w:pPr>
            <w:r>
              <w:rPr>
                <w:rFonts w:hint="eastAsia" w:ascii="宋体" w:hAnsi="宋体"/>
                <w:sz w:val="22"/>
                <w:szCs w:val="22"/>
              </w:rPr>
              <w:t>（1）培训方案设计合理、培训计划切实可行、培训内容全面完善的，得 5 分；</w:t>
            </w:r>
          </w:p>
          <w:p w14:paraId="0D90230F">
            <w:pPr>
              <w:spacing w:line="360" w:lineRule="auto"/>
              <w:rPr>
                <w:rFonts w:ascii="宋体" w:hAnsi="宋体"/>
                <w:sz w:val="22"/>
                <w:szCs w:val="22"/>
              </w:rPr>
            </w:pPr>
            <w:r>
              <w:rPr>
                <w:rFonts w:hint="eastAsia" w:ascii="宋体" w:hAnsi="宋体"/>
                <w:sz w:val="22"/>
                <w:szCs w:val="22"/>
              </w:rPr>
              <w:t xml:space="preserve">（2）培训方案设计较为合理、培训计划较为可行、培训内容较为完善的，得 3 分； </w:t>
            </w:r>
          </w:p>
          <w:p w14:paraId="198D4069">
            <w:pPr>
              <w:spacing w:line="360" w:lineRule="auto"/>
              <w:rPr>
                <w:rFonts w:ascii="宋体" w:hAnsi="宋体"/>
                <w:sz w:val="22"/>
                <w:szCs w:val="22"/>
              </w:rPr>
            </w:pPr>
            <w:r>
              <w:rPr>
                <w:rFonts w:hint="eastAsia" w:ascii="宋体" w:hAnsi="宋体"/>
                <w:sz w:val="22"/>
                <w:szCs w:val="22"/>
              </w:rPr>
              <w:t>（3）培训方案设计合理性、培训计划可行性等有待提高、培训内容有待完善的，得 1 分；</w:t>
            </w:r>
          </w:p>
          <w:p w14:paraId="0E07FF26">
            <w:pPr>
              <w:spacing w:line="360" w:lineRule="auto"/>
              <w:rPr>
                <w:rFonts w:asciiTheme="minorEastAsia" w:hAnsiTheme="minorEastAsia" w:eastAsiaTheme="minorEastAsia"/>
                <w:color w:val="auto"/>
                <w:sz w:val="24"/>
                <w:highlight w:val="none"/>
              </w:rPr>
            </w:pPr>
            <w:r>
              <w:rPr>
                <w:rFonts w:hint="eastAsia" w:ascii="宋体" w:hAnsi="宋体"/>
                <w:sz w:val="22"/>
                <w:szCs w:val="22"/>
              </w:rPr>
              <w:t>（4）未提供方案的，不得分。</w:t>
            </w:r>
          </w:p>
        </w:tc>
        <w:tc>
          <w:tcPr>
            <w:tcW w:w="699" w:type="pct"/>
            <w:tcBorders>
              <w:top w:val="single" w:color="auto" w:sz="4" w:space="0"/>
              <w:left w:val="single" w:color="auto" w:sz="4" w:space="0"/>
              <w:bottom w:val="single" w:color="auto" w:sz="4" w:space="0"/>
              <w:right w:val="single" w:color="auto" w:sz="4" w:space="0"/>
            </w:tcBorders>
            <w:vAlign w:val="center"/>
          </w:tcPr>
          <w:p w14:paraId="29FF3CD9">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分</w:t>
            </w:r>
          </w:p>
        </w:tc>
      </w:tr>
      <w:tr w14:paraId="0CDD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pct"/>
            <w:tcBorders>
              <w:left w:val="single" w:color="auto" w:sz="4" w:space="0"/>
              <w:right w:val="single" w:color="auto" w:sz="4" w:space="0"/>
            </w:tcBorders>
            <w:vAlign w:val="center"/>
          </w:tcPr>
          <w:p w14:paraId="3206DE36">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价格分</w:t>
            </w:r>
          </w:p>
          <w:p w14:paraId="5FAF25D3">
            <w:pPr>
              <w:spacing w:line="360" w:lineRule="auto"/>
              <w:jc w:val="center"/>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lang w:eastAsia="zh-CN"/>
              </w:rPr>
              <w:t>（</w:t>
            </w:r>
            <w:r>
              <w:rPr>
                <w:rFonts w:hint="eastAsia" w:asciiTheme="minorEastAsia" w:hAnsiTheme="minorEastAsia" w:eastAsiaTheme="minorEastAsia"/>
                <w:b/>
                <w:bCs/>
                <w:color w:val="auto"/>
                <w:sz w:val="24"/>
                <w:highlight w:val="none"/>
                <w:lang w:val="en-US" w:eastAsia="zh-CN"/>
              </w:rPr>
              <w:t>10分</w:t>
            </w:r>
            <w:r>
              <w:rPr>
                <w:rFonts w:hint="eastAsia" w:asciiTheme="minorEastAsia" w:hAnsiTheme="minorEastAsia" w:eastAsiaTheme="minorEastAsia"/>
                <w:b/>
                <w:bCs/>
                <w:color w:val="auto"/>
                <w:sz w:val="24"/>
                <w:highlight w:val="none"/>
                <w:lang w:eastAsia="zh-CN"/>
              </w:rPr>
              <w:t>）</w:t>
            </w:r>
          </w:p>
        </w:tc>
        <w:tc>
          <w:tcPr>
            <w:tcW w:w="3432" w:type="pct"/>
            <w:gridSpan w:val="2"/>
            <w:tcBorders>
              <w:top w:val="single" w:color="auto" w:sz="4" w:space="0"/>
              <w:left w:val="single" w:color="auto" w:sz="4" w:space="0"/>
              <w:bottom w:val="single" w:color="auto" w:sz="4" w:space="0"/>
              <w:right w:val="single" w:color="auto" w:sz="4" w:space="0"/>
            </w:tcBorders>
            <w:vAlign w:val="center"/>
          </w:tcPr>
          <w:p w14:paraId="53B617C3">
            <w:pPr>
              <w:spacing w:line="360" w:lineRule="auto"/>
              <w:rPr>
                <w:rFonts w:hint="eastAsia" w:ascii="宋体" w:hAnsi="宋体" w:eastAsia="宋体" w:cs="宋体"/>
                <w:color w:val="auto"/>
                <w:sz w:val="21"/>
                <w:szCs w:val="21"/>
                <w:highlight w:val="none"/>
              </w:rPr>
            </w:pPr>
            <w:r>
              <w:rPr>
                <w:rFonts w:hint="eastAsia" w:ascii="Calibri" w:hAnsi="Calibri" w:eastAsia="宋体" w:cs="宋体"/>
                <w:color w:val="auto"/>
                <w:highlight w:val="none"/>
              </w:rPr>
              <w:t>价格分统一采用低价优先法，即满足招标文件要求且投标价格最低的投标</w:t>
            </w:r>
            <w:r>
              <w:rPr>
                <w:rFonts w:hint="eastAsia" w:ascii="Calibri" w:hAnsi="Calibri" w:eastAsia="宋体" w:cs="宋体"/>
                <w:color w:val="auto"/>
                <w:sz w:val="21"/>
                <w:szCs w:val="21"/>
                <w:highlight w:val="none"/>
              </w:rPr>
              <w:t>报价为评标基准价，其价格分为满</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分。其他投标人的价格分统一按照下列公式计算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若有投标报价扣除，以扣除后价格参与评审：</w:t>
            </w:r>
          </w:p>
          <w:p w14:paraId="19DD77A9">
            <w:pPr>
              <w:spacing w:line="360" w:lineRule="auto"/>
              <w:rPr>
                <w:rFonts w:hint="eastAsia" w:eastAsia="宋体"/>
                <w:lang w:eastAsia="zh-CN"/>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％×100</w:t>
            </w:r>
          </w:p>
        </w:tc>
        <w:tc>
          <w:tcPr>
            <w:tcW w:w="699" w:type="pct"/>
            <w:tcBorders>
              <w:top w:val="single" w:color="auto" w:sz="4" w:space="0"/>
              <w:left w:val="single" w:color="auto" w:sz="4" w:space="0"/>
              <w:bottom w:val="single" w:color="auto" w:sz="4" w:space="0"/>
              <w:right w:val="single" w:color="auto" w:sz="4" w:space="0"/>
            </w:tcBorders>
            <w:vAlign w:val="center"/>
          </w:tcPr>
          <w:p w14:paraId="3FB9AEAA">
            <w:pPr>
              <w:spacing w:line="360" w:lineRule="auto"/>
              <w:jc w:val="center"/>
              <w:rPr>
                <w:rFonts w:hint="eastAsia" w:ascii="Calibri" w:hAnsi="Calibri" w:eastAsia="宋体" w:cs="宋体"/>
                <w:color w:val="auto"/>
                <w:highlight w:val="none"/>
              </w:rPr>
            </w:pPr>
            <w:r>
              <w:rPr>
                <w:rFonts w:hint="eastAsia" w:asciiTheme="minorEastAsia" w:hAnsiTheme="minorEastAsia" w:eastAsiaTheme="minorEastAsia"/>
                <w:color w:val="auto"/>
                <w:sz w:val="24"/>
                <w:szCs w:val="24"/>
                <w:highlight w:val="none"/>
              </w:rPr>
              <w:t>0-</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分</w:t>
            </w:r>
          </w:p>
        </w:tc>
      </w:tr>
    </w:tbl>
    <w:p w14:paraId="00535B92">
      <w:pPr>
        <w:spacing w:line="360" w:lineRule="auto"/>
        <w:ind w:firstLine="310" w:firstLineChars="147"/>
        <w:rPr>
          <w:rFonts w:ascii="宋体" w:hAnsi="宋体" w:cs="宋体"/>
          <w:b/>
          <w:color w:val="auto"/>
          <w:szCs w:val="21"/>
          <w:highlight w:val="none"/>
        </w:rPr>
      </w:pPr>
      <w:r>
        <w:rPr>
          <w:rFonts w:hint="eastAsia" w:ascii="宋体" w:hAnsi="宋体" w:cs="宋体"/>
          <w:b/>
          <w:color w:val="auto"/>
          <w:szCs w:val="21"/>
          <w:highlight w:val="none"/>
        </w:rPr>
        <w:t>备注：</w:t>
      </w:r>
    </w:p>
    <w:p w14:paraId="6E9C403D">
      <w:pPr>
        <w:numPr>
          <w:ilvl w:val="0"/>
          <w:numId w:val="2"/>
        </w:numPr>
        <w:spacing w:line="360" w:lineRule="auto"/>
        <w:ind w:firstLine="310" w:firstLineChars="147"/>
        <w:rPr>
          <w:rFonts w:ascii="宋体" w:hAnsi="宋体" w:cs="宋体"/>
          <w:b/>
          <w:color w:val="auto"/>
          <w:szCs w:val="21"/>
          <w:highlight w:val="none"/>
        </w:rPr>
      </w:pPr>
      <w:r>
        <w:rPr>
          <w:rFonts w:hint="eastAsia" w:ascii="宋体" w:hAnsi="宋体" w:cs="宋体"/>
          <w:b/>
          <w:color w:val="auto"/>
          <w:szCs w:val="21"/>
          <w:highlight w:val="none"/>
        </w:rPr>
        <w:t>以上评分汇总分精确至小数点后二位、小数点后第三位四舍五入。</w:t>
      </w:r>
    </w:p>
    <w:p w14:paraId="52DF776A">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（2）投标人提供的证明材料要能清晰反映评分的实质内容，如因材料模糊不清，导致评标委员会无法辨认的，评标委员会可以不予认可，一切后果由投标人自行承担。</w:t>
      </w:r>
    </w:p>
    <w:p w14:paraId="5224C00A">
      <w:pPr>
        <w:spacing w:line="360" w:lineRule="auto"/>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（3）以上评分项中要求投标人提供的证明文件，投标人提供证明文件的扫描件或复印件或影印件</w:t>
      </w:r>
      <w:r>
        <w:rPr>
          <w:rFonts w:hint="eastAsia" w:ascii="宋体" w:hAnsi="宋体" w:cs="宋体"/>
          <w:b/>
          <w:color w:val="auto"/>
          <w:szCs w:val="21"/>
          <w:highlight w:val="none"/>
          <w:lang w:val="en-US" w:eastAsia="zh-CN"/>
        </w:rPr>
        <w:t>加盖投标人公章。</w:t>
      </w:r>
    </w:p>
    <w:p w14:paraId="4DA3F648">
      <w:pPr>
        <w:spacing w:line="360" w:lineRule="auto"/>
        <w:ind w:firstLine="420" w:firstLineChars="200"/>
        <w:rPr>
          <w:rFonts w:hint="eastAsia" w:cs="宋体"/>
          <w:color w:val="auto"/>
          <w:highlight w:val="none"/>
          <w:lang w:val="en-US" w:eastAsia="zh-CN"/>
        </w:rPr>
      </w:pPr>
      <w:r>
        <w:rPr>
          <w:rFonts w:hint="eastAsia" w:cs="宋体"/>
          <w:color w:val="auto"/>
          <w:highlight w:val="none"/>
          <w:lang w:val="en-US" w:eastAsia="zh-CN"/>
        </w:rPr>
        <w:t xml:space="preserve">3.4.2 分值汇总 </w:t>
      </w:r>
    </w:p>
    <w:p w14:paraId="1CBCC920">
      <w:pPr>
        <w:spacing w:line="360" w:lineRule="auto"/>
        <w:ind w:firstLine="420" w:firstLineChars="200"/>
        <w:rPr>
          <w:rFonts w:hint="eastAsia" w:cs="宋体"/>
          <w:color w:val="auto"/>
          <w:highlight w:val="none"/>
          <w:lang w:val="en-US" w:eastAsia="zh-CN"/>
        </w:rPr>
      </w:pPr>
      <w:r>
        <w:rPr>
          <w:rFonts w:hint="eastAsia" w:cs="宋体"/>
          <w:color w:val="auto"/>
          <w:highlight w:val="none"/>
          <w:lang w:val="en-US" w:eastAsia="zh-CN"/>
        </w:rPr>
        <w:t>（1）评标委员会各成员应当独立对每个有效投标人的投标文件进行评分，并汇总每个投标人的得分。取各位评委评分之平均值，四舍五入保留至小数点后两位数，得到该投标人的技术资信分。</w:t>
      </w:r>
    </w:p>
    <w:p w14:paraId="0C605851">
      <w:pPr>
        <w:rPr>
          <w:color w:val="auto"/>
          <w:highlight w:val="none"/>
        </w:rPr>
      </w:pPr>
      <w:r>
        <w:rPr>
          <w:rFonts w:hint="eastAsia" w:cs="宋体"/>
          <w:color w:val="auto"/>
          <w:highlight w:val="none"/>
          <w:lang w:val="en-US" w:eastAsia="zh-CN"/>
        </w:rPr>
        <w:t>（2）将投标人的技术资信分加上评审后的价格分，即为该投标人的综合总得分。</w:t>
      </w:r>
    </w:p>
    <w:sectPr>
      <w:headerReference r:id="rId3" w:type="default"/>
      <w:footerReference r:id="rId4" w:type="default"/>
      <w:pgSz w:w="11906" w:h="16838"/>
      <w:pgMar w:top="1418" w:right="1418" w:bottom="1276"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ime New Romes">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533C">
    <w:pPr>
      <w:pStyle w:val="13"/>
      <w:pBdr>
        <w:top w:val="single" w:color="auto" w:sz="4" w:space="1"/>
      </w:pBd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6AA0">
    <w:pPr>
      <w:pStyle w:val="15"/>
      <w:ind w:right="360"/>
      <w:rPr>
        <w:rFonts w:hint="eastAsia" w:eastAsia="宋体"/>
        <w:szCs w:val="21"/>
        <w:lang w:eastAsia="zh-CN"/>
      </w:rPr>
    </w:pPr>
    <w:r>
      <w:rPr>
        <w:rFonts w:hint="eastAsia"/>
        <w:szCs w:val="21"/>
      </w:rPr>
      <w:t xml:space="preserve">          </w:t>
    </w:r>
    <w:r>
      <w:rPr>
        <w:rFonts w:hint="eastAsia"/>
        <w:sz w:val="15"/>
        <w:szCs w:val="18"/>
      </w:rPr>
      <w:t xml:space="preserve"> </w:t>
    </w:r>
    <w:r>
      <w:rPr>
        <w:rFonts w:hint="eastAsia"/>
        <w:sz w:val="15"/>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AC7EE"/>
    <w:multiLevelType w:val="singleLevel"/>
    <w:tmpl w:val="24FAC7EE"/>
    <w:lvl w:ilvl="0" w:tentative="0">
      <w:start w:val="1"/>
      <w:numFmt w:val="decimal"/>
      <w:suff w:val="nothing"/>
      <w:lvlText w:val="（%1）"/>
      <w:lvlJc w:val="left"/>
    </w:lvl>
  </w:abstractNum>
  <w:abstractNum w:abstractNumId="1">
    <w:nsid w:val="51643BFC"/>
    <w:multiLevelType w:val="multilevel"/>
    <w:tmpl w:val="51643BFC"/>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isLgl/>
      <w:suff w:val="space"/>
      <w:lvlText w:val="%1.%2.%3.%4."/>
      <w:lvlJc w:val="left"/>
      <w:pPr>
        <w:ind w:left="0" w:firstLine="0"/>
      </w:pPr>
      <w:rPr>
        <w:rFonts w:hint="default" w:ascii="Times New Roman" w:hAnsi="Times New Roman" w:cs="Times New Roman"/>
      </w:rPr>
    </w:lvl>
    <w:lvl w:ilvl="4" w:tentative="0">
      <w:start w:val="1"/>
      <w:numFmt w:val="decimal"/>
      <w:pStyle w:val="7"/>
      <w:isLgl/>
      <w:suff w:val="space"/>
      <w:lvlText w:val="%1.%2.%3.%4.%5."/>
      <w:lvlJc w:val="left"/>
      <w:pPr>
        <w:ind w:left="0" w:firstLine="0"/>
      </w:pPr>
      <w:rPr>
        <w:rFonts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isLgl/>
      <w:suff w:val="space"/>
      <w:lvlText w:val="%1.%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isLgl/>
      <w:suff w:val="space"/>
      <w:lvlText w:val="%1.%2.%3.%4.%5.%6.%7."/>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isLgl/>
      <w:suff w:val="space"/>
      <w:lvlText w:val="%1.%2.%3.%4.%5.%6.%7.%8."/>
      <w:lvlJc w:val="left"/>
      <w:pPr>
        <w:ind w:left="0" w:firstLine="0"/>
      </w:pPr>
      <w:rPr>
        <w:rFonts w:hint="default" w:ascii="Times New Roman" w:hAnsi="Times New Roman" w:eastAsia="仿宋" w:cs="Times New Roman"/>
        <w:b/>
        <w:i w:val="0"/>
        <w:sz w:val="28"/>
      </w:rPr>
    </w:lvl>
    <w:lvl w:ilvl="8" w:tentative="0">
      <w:start w:val="1"/>
      <w:numFmt w:val="decimal"/>
      <w:isLgl/>
      <w:suff w:val="space"/>
      <w:lvlText w:val="%1.%2.%3.%4.%5.%6.%7.%8.%9."/>
      <w:lvlJc w:val="left"/>
      <w:pPr>
        <w:ind w:left="0" w:firstLine="0"/>
      </w:pPr>
      <w:rPr>
        <w:rFonts w:hint="default" w:ascii="Times New Roman" w:hAnsi="Times New Roman" w:eastAsia="仿宋" w:cs="Times New Roman"/>
        <w:b/>
        <w:i w:val="0"/>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2BC80B83"/>
    <w:rsid w:val="00152BE5"/>
    <w:rsid w:val="003B643A"/>
    <w:rsid w:val="00D348C5"/>
    <w:rsid w:val="042548A4"/>
    <w:rsid w:val="04781801"/>
    <w:rsid w:val="047A5783"/>
    <w:rsid w:val="05863AA1"/>
    <w:rsid w:val="05A30C46"/>
    <w:rsid w:val="06175254"/>
    <w:rsid w:val="06405285"/>
    <w:rsid w:val="06845EE9"/>
    <w:rsid w:val="06D3561E"/>
    <w:rsid w:val="079254DA"/>
    <w:rsid w:val="087E15BA"/>
    <w:rsid w:val="08DF26C5"/>
    <w:rsid w:val="09AD03A9"/>
    <w:rsid w:val="0A6433C7"/>
    <w:rsid w:val="0A652F32"/>
    <w:rsid w:val="0A892BC4"/>
    <w:rsid w:val="0AA34343"/>
    <w:rsid w:val="0B301D18"/>
    <w:rsid w:val="0D6B035F"/>
    <w:rsid w:val="0D8009D9"/>
    <w:rsid w:val="0D961154"/>
    <w:rsid w:val="0FE45175"/>
    <w:rsid w:val="113E4B89"/>
    <w:rsid w:val="113E79A8"/>
    <w:rsid w:val="11E52239"/>
    <w:rsid w:val="12C2165F"/>
    <w:rsid w:val="14117052"/>
    <w:rsid w:val="14975931"/>
    <w:rsid w:val="14E07D19"/>
    <w:rsid w:val="14EE6E14"/>
    <w:rsid w:val="15AA1B7E"/>
    <w:rsid w:val="162639BD"/>
    <w:rsid w:val="168A6BD5"/>
    <w:rsid w:val="16BA33E8"/>
    <w:rsid w:val="181D1346"/>
    <w:rsid w:val="182A0E16"/>
    <w:rsid w:val="184D5A22"/>
    <w:rsid w:val="185D307C"/>
    <w:rsid w:val="18D72E0C"/>
    <w:rsid w:val="18EE0096"/>
    <w:rsid w:val="19C7100D"/>
    <w:rsid w:val="19E958BD"/>
    <w:rsid w:val="1AD5584E"/>
    <w:rsid w:val="1B3C77DE"/>
    <w:rsid w:val="1BFFC3F4"/>
    <w:rsid w:val="1D0600A4"/>
    <w:rsid w:val="1D52655C"/>
    <w:rsid w:val="1D7E8822"/>
    <w:rsid w:val="1D924C74"/>
    <w:rsid w:val="1D971C58"/>
    <w:rsid w:val="1E7B1AF6"/>
    <w:rsid w:val="1ED3151E"/>
    <w:rsid w:val="1FB77726"/>
    <w:rsid w:val="1FEF6BCD"/>
    <w:rsid w:val="201D70A5"/>
    <w:rsid w:val="21A943F8"/>
    <w:rsid w:val="21E8421C"/>
    <w:rsid w:val="22405E06"/>
    <w:rsid w:val="22792F3E"/>
    <w:rsid w:val="22AB5593"/>
    <w:rsid w:val="23E06FCB"/>
    <w:rsid w:val="249D14CB"/>
    <w:rsid w:val="24E341E9"/>
    <w:rsid w:val="24E7143E"/>
    <w:rsid w:val="26AE2DFE"/>
    <w:rsid w:val="27455C6D"/>
    <w:rsid w:val="27567D73"/>
    <w:rsid w:val="27C2076C"/>
    <w:rsid w:val="286B18D0"/>
    <w:rsid w:val="28780560"/>
    <w:rsid w:val="29017D9A"/>
    <w:rsid w:val="29A30A29"/>
    <w:rsid w:val="2A0716E1"/>
    <w:rsid w:val="2A68618E"/>
    <w:rsid w:val="2AD678EF"/>
    <w:rsid w:val="2B154593"/>
    <w:rsid w:val="2BC80B83"/>
    <w:rsid w:val="2BDD6187"/>
    <w:rsid w:val="2E295621"/>
    <w:rsid w:val="2E750287"/>
    <w:rsid w:val="2F0F4BEF"/>
    <w:rsid w:val="2F1C7F3F"/>
    <w:rsid w:val="2F2F5889"/>
    <w:rsid w:val="30E85EE9"/>
    <w:rsid w:val="31B01AA2"/>
    <w:rsid w:val="31B54356"/>
    <w:rsid w:val="31DF31CC"/>
    <w:rsid w:val="32110C25"/>
    <w:rsid w:val="32692FE8"/>
    <w:rsid w:val="327F25E5"/>
    <w:rsid w:val="32EF6B0E"/>
    <w:rsid w:val="3320335A"/>
    <w:rsid w:val="33590AD6"/>
    <w:rsid w:val="33A00282"/>
    <w:rsid w:val="344F26F3"/>
    <w:rsid w:val="34763909"/>
    <w:rsid w:val="34801861"/>
    <w:rsid w:val="35A40002"/>
    <w:rsid w:val="35B71587"/>
    <w:rsid w:val="363E025E"/>
    <w:rsid w:val="364853F6"/>
    <w:rsid w:val="37481188"/>
    <w:rsid w:val="37DF6C66"/>
    <w:rsid w:val="38215385"/>
    <w:rsid w:val="38FA4B6C"/>
    <w:rsid w:val="393D0552"/>
    <w:rsid w:val="39B607BE"/>
    <w:rsid w:val="3B020A8C"/>
    <w:rsid w:val="3B6D2753"/>
    <w:rsid w:val="3C2330B7"/>
    <w:rsid w:val="3C57127D"/>
    <w:rsid w:val="3CDD050D"/>
    <w:rsid w:val="3CE31A3F"/>
    <w:rsid w:val="3D0E75C3"/>
    <w:rsid w:val="3D687B67"/>
    <w:rsid w:val="3DFAF799"/>
    <w:rsid w:val="3E4075A0"/>
    <w:rsid w:val="3F32042D"/>
    <w:rsid w:val="3F7552C2"/>
    <w:rsid w:val="3FDD9495"/>
    <w:rsid w:val="3FFA9221"/>
    <w:rsid w:val="402E5B78"/>
    <w:rsid w:val="407A02DD"/>
    <w:rsid w:val="42E0197D"/>
    <w:rsid w:val="44DD2147"/>
    <w:rsid w:val="452D591E"/>
    <w:rsid w:val="45BD2855"/>
    <w:rsid w:val="46656430"/>
    <w:rsid w:val="46F24595"/>
    <w:rsid w:val="48B82050"/>
    <w:rsid w:val="4A145F30"/>
    <w:rsid w:val="4AE051E1"/>
    <w:rsid w:val="4B4C2876"/>
    <w:rsid w:val="4BFC604B"/>
    <w:rsid w:val="4C7E4CB1"/>
    <w:rsid w:val="4CFD207A"/>
    <w:rsid w:val="4DEE6FBD"/>
    <w:rsid w:val="4E061402"/>
    <w:rsid w:val="4E7F39D1"/>
    <w:rsid w:val="515D0330"/>
    <w:rsid w:val="52A01E26"/>
    <w:rsid w:val="537FDFB8"/>
    <w:rsid w:val="53EF3EBE"/>
    <w:rsid w:val="53F7FC80"/>
    <w:rsid w:val="546A4C41"/>
    <w:rsid w:val="54D06EA2"/>
    <w:rsid w:val="55001214"/>
    <w:rsid w:val="55907B04"/>
    <w:rsid w:val="559DEA9E"/>
    <w:rsid w:val="55B4143A"/>
    <w:rsid w:val="563A4E43"/>
    <w:rsid w:val="57A345C1"/>
    <w:rsid w:val="58195B2F"/>
    <w:rsid w:val="583E5F1C"/>
    <w:rsid w:val="583F7085"/>
    <w:rsid w:val="58412816"/>
    <w:rsid w:val="588401CD"/>
    <w:rsid w:val="588E7151"/>
    <w:rsid w:val="58F64804"/>
    <w:rsid w:val="591F295E"/>
    <w:rsid w:val="595C281E"/>
    <w:rsid w:val="59AD4E68"/>
    <w:rsid w:val="59BF9328"/>
    <w:rsid w:val="5A507A83"/>
    <w:rsid w:val="5A6101CE"/>
    <w:rsid w:val="5AE44281"/>
    <w:rsid w:val="5B7B96B2"/>
    <w:rsid w:val="5BA11BCD"/>
    <w:rsid w:val="5C950521"/>
    <w:rsid w:val="5C98591B"/>
    <w:rsid w:val="5DCB209D"/>
    <w:rsid w:val="5DF38EA1"/>
    <w:rsid w:val="5E1C2460"/>
    <w:rsid w:val="5E2B0114"/>
    <w:rsid w:val="5E9007AB"/>
    <w:rsid w:val="5F0279B5"/>
    <w:rsid w:val="5F86CFB5"/>
    <w:rsid w:val="5FEA154F"/>
    <w:rsid w:val="5FFF35D1"/>
    <w:rsid w:val="60AF1486"/>
    <w:rsid w:val="611045DD"/>
    <w:rsid w:val="618B5A4F"/>
    <w:rsid w:val="6254153A"/>
    <w:rsid w:val="63984453"/>
    <w:rsid w:val="63EB73BE"/>
    <w:rsid w:val="65E96460"/>
    <w:rsid w:val="66092914"/>
    <w:rsid w:val="672D1356"/>
    <w:rsid w:val="67F3E23C"/>
    <w:rsid w:val="680D60F4"/>
    <w:rsid w:val="68465DD0"/>
    <w:rsid w:val="692FEB6F"/>
    <w:rsid w:val="6A446B57"/>
    <w:rsid w:val="6A554E4C"/>
    <w:rsid w:val="6A8BD3BA"/>
    <w:rsid w:val="6A9E2583"/>
    <w:rsid w:val="6AF04971"/>
    <w:rsid w:val="6D4A711B"/>
    <w:rsid w:val="6D4F1C28"/>
    <w:rsid w:val="6D902865"/>
    <w:rsid w:val="6E3D7453"/>
    <w:rsid w:val="6EA74BAF"/>
    <w:rsid w:val="6EEF7BD3"/>
    <w:rsid w:val="6F9F3E33"/>
    <w:rsid w:val="6F9F506F"/>
    <w:rsid w:val="6FB97A25"/>
    <w:rsid w:val="6FD30268"/>
    <w:rsid w:val="6FEE53B9"/>
    <w:rsid w:val="70131089"/>
    <w:rsid w:val="70C4772A"/>
    <w:rsid w:val="719E376F"/>
    <w:rsid w:val="71FAEC30"/>
    <w:rsid w:val="72765AFD"/>
    <w:rsid w:val="738B1A22"/>
    <w:rsid w:val="73FA790A"/>
    <w:rsid w:val="75093858"/>
    <w:rsid w:val="75114065"/>
    <w:rsid w:val="753D175A"/>
    <w:rsid w:val="756E6ACB"/>
    <w:rsid w:val="76635E44"/>
    <w:rsid w:val="77F44598"/>
    <w:rsid w:val="77F69EC5"/>
    <w:rsid w:val="77FBDE7D"/>
    <w:rsid w:val="78212811"/>
    <w:rsid w:val="79727F76"/>
    <w:rsid w:val="79B88270"/>
    <w:rsid w:val="79BE476B"/>
    <w:rsid w:val="7A4F3DE9"/>
    <w:rsid w:val="7B7E5847"/>
    <w:rsid w:val="7BF3E546"/>
    <w:rsid w:val="7BFF7629"/>
    <w:rsid w:val="7D212EFF"/>
    <w:rsid w:val="7D791F9A"/>
    <w:rsid w:val="7DA57A41"/>
    <w:rsid w:val="7DDB48B7"/>
    <w:rsid w:val="7DFEBEF6"/>
    <w:rsid w:val="7E1F6906"/>
    <w:rsid w:val="7EBFE6DA"/>
    <w:rsid w:val="7ECFFAD9"/>
    <w:rsid w:val="7EEFB6AF"/>
    <w:rsid w:val="7EFF9C35"/>
    <w:rsid w:val="7F3F1E16"/>
    <w:rsid w:val="7F6FC5B0"/>
    <w:rsid w:val="7F7D3311"/>
    <w:rsid w:val="7F7FE94C"/>
    <w:rsid w:val="7FB34697"/>
    <w:rsid w:val="7FD9A804"/>
    <w:rsid w:val="7FF2FADB"/>
    <w:rsid w:val="7FFB43A4"/>
    <w:rsid w:val="7FFD943B"/>
    <w:rsid w:val="8FAD8C0E"/>
    <w:rsid w:val="915F52B5"/>
    <w:rsid w:val="9B9FBCA0"/>
    <w:rsid w:val="9BF85B5C"/>
    <w:rsid w:val="A6AFCE05"/>
    <w:rsid w:val="A6EFCDE7"/>
    <w:rsid w:val="A6FA169B"/>
    <w:rsid w:val="AAF5AE97"/>
    <w:rsid w:val="B7FF8B4B"/>
    <w:rsid w:val="BBEE639B"/>
    <w:rsid w:val="BCC1A08F"/>
    <w:rsid w:val="BCFB6E14"/>
    <w:rsid w:val="BDF52A99"/>
    <w:rsid w:val="BDFF72DE"/>
    <w:rsid w:val="BFEFA65A"/>
    <w:rsid w:val="C7EFFFD6"/>
    <w:rsid w:val="CFE78DEB"/>
    <w:rsid w:val="CFEF62B1"/>
    <w:rsid w:val="DED4AFBC"/>
    <w:rsid w:val="DEDFDF89"/>
    <w:rsid w:val="DFDEFBF5"/>
    <w:rsid w:val="DFEAA494"/>
    <w:rsid w:val="E67E4310"/>
    <w:rsid w:val="E96CC7B5"/>
    <w:rsid w:val="E977BEDB"/>
    <w:rsid w:val="EAFF9B82"/>
    <w:rsid w:val="EBAF3A46"/>
    <w:rsid w:val="EBD2C3B7"/>
    <w:rsid w:val="EE9F0AA2"/>
    <w:rsid w:val="EFCEB65D"/>
    <w:rsid w:val="EFFC2501"/>
    <w:rsid w:val="F5F3CE1A"/>
    <w:rsid w:val="F5FE0532"/>
    <w:rsid w:val="F64F0E06"/>
    <w:rsid w:val="F78F7458"/>
    <w:rsid w:val="F79F86C0"/>
    <w:rsid w:val="F7DAD342"/>
    <w:rsid w:val="F7F3B430"/>
    <w:rsid w:val="FB4F884F"/>
    <w:rsid w:val="FBEF16C4"/>
    <w:rsid w:val="FBFA8DFD"/>
    <w:rsid w:val="FCF55617"/>
    <w:rsid w:val="FD59E94E"/>
    <w:rsid w:val="FE5DA97F"/>
    <w:rsid w:val="FE783A9B"/>
    <w:rsid w:val="FEE752E5"/>
    <w:rsid w:val="FEFD8288"/>
    <w:rsid w:val="FEFFE677"/>
    <w:rsid w:val="FF733279"/>
    <w:rsid w:val="FF7938BF"/>
    <w:rsid w:val="FFBAC3A1"/>
    <w:rsid w:val="FFDF7D59"/>
    <w:rsid w:val="FFFEEA3E"/>
    <w:rsid w:val="FFFF83F7"/>
    <w:rsid w:val="FFFFC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1"/>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paragraph" w:styleId="6">
    <w:name w:val="heading 4"/>
    <w:basedOn w:val="1"/>
    <w:next w:val="1"/>
    <w:qFormat/>
    <w:uiPriority w:val="9"/>
    <w:pPr>
      <w:keepNext/>
      <w:keepLines/>
      <w:numPr>
        <w:ilvl w:val="3"/>
        <w:numId w:val="1"/>
      </w:numPr>
      <w:spacing w:before="120" w:after="120"/>
      <w:ind w:firstLineChars="0"/>
      <w:outlineLvl w:val="3"/>
    </w:pPr>
    <w:rPr>
      <w:b/>
      <w:bCs/>
      <w:szCs w:val="30"/>
    </w:rPr>
  </w:style>
  <w:style w:type="paragraph" w:styleId="7">
    <w:name w:val="heading 5"/>
    <w:basedOn w:val="1"/>
    <w:next w:val="1"/>
    <w:qFormat/>
    <w:uiPriority w:val="9"/>
    <w:pPr>
      <w:keepNext/>
      <w:keepLines/>
      <w:numPr>
        <w:ilvl w:val="4"/>
        <w:numId w:val="1"/>
      </w:numPr>
      <w:spacing w:before="120" w:after="120"/>
      <w:ind w:firstLineChars="0"/>
      <w:jc w:val="left"/>
      <w:outlineLvl w:val="4"/>
    </w:pPr>
    <w:rPr>
      <w:rFonts w:ascii="Times New Roman" w:hAnsi="Times New Roman"/>
      <w:b/>
      <w:bCs/>
      <w:color w:val="000000"/>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8">
    <w:name w:val="annotation text"/>
    <w:basedOn w:val="1"/>
    <w:qFormat/>
    <w:uiPriority w:val="99"/>
    <w:pPr>
      <w:jc w:val="left"/>
    </w:pPr>
    <w:rPr>
      <w:rFonts w:ascii="仿宋_GB2312" w:eastAsia="仿宋_GB2312"/>
      <w:sz w:val="32"/>
      <w:szCs w:val="32"/>
    </w:rPr>
  </w:style>
  <w:style w:type="paragraph" w:styleId="9">
    <w:name w:val="Body Text"/>
    <w:basedOn w:val="1"/>
    <w:next w:val="1"/>
    <w:qFormat/>
    <w:uiPriority w:val="0"/>
    <w:rPr>
      <w:rFonts w:ascii="楷体_GB2312" w:hAnsi="Arial" w:eastAsia="楷体_GB2312"/>
      <w:sz w:val="20"/>
    </w:rPr>
  </w:style>
  <w:style w:type="paragraph" w:styleId="10">
    <w:name w:val="Body Text Indent"/>
    <w:basedOn w:val="1"/>
    <w:qFormat/>
    <w:uiPriority w:val="0"/>
    <w:pPr>
      <w:spacing w:after="120"/>
      <w:ind w:left="420" w:leftChars="200"/>
    </w:pPr>
  </w:style>
  <w:style w:type="paragraph" w:styleId="11">
    <w:name w:val="Plain Text"/>
    <w:basedOn w:val="1"/>
    <w:qFormat/>
    <w:uiPriority w:val="0"/>
    <w:rPr>
      <w:rFonts w:ascii="宋体" w:hAnsi="Courier New"/>
      <w:szCs w:val="20"/>
    </w:rPr>
  </w:style>
  <w:style w:type="paragraph" w:styleId="12">
    <w:name w:val="Body Text Indent 2"/>
    <w:basedOn w:val="1"/>
    <w:next w:val="1"/>
    <w:qFormat/>
    <w:uiPriority w:val="99"/>
    <w:pPr>
      <w:spacing w:after="120" w:line="480" w:lineRule="auto"/>
      <w:ind w:left="420" w:leftChars="200" w:firstLine="0" w:firstLineChars="0"/>
    </w:pPr>
    <w:rPr>
      <w:rFonts w:ascii="Times New Roman" w:hAnsi="Times New Roman"/>
      <w:sz w:val="21"/>
      <w:szCs w:val="2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envelope return"/>
    <w:basedOn w:val="1"/>
    <w:unhideWhenUsed/>
    <w:qFormat/>
    <w:uiPriority w:val="99"/>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right" w:leader="dot" w:pos="9060"/>
      </w:tabs>
      <w:spacing w:line="500" w:lineRule="exact"/>
    </w:pPr>
    <w:rPr>
      <w:sz w:val="24"/>
    </w:rPr>
  </w:style>
  <w:style w:type="paragraph" w:styleId="17">
    <w:name w:val="Normal (Web)"/>
    <w:basedOn w:val="1"/>
    <w:unhideWhenUsed/>
    <w:qFormat/>
    <w:uiPriority w:val="0"/>
    <w:pPr>
      <w:jc w:val="left"/>
    </w:pPr>
    <w:rPr>
      <w:kern w:val="0"/>
      <w:sz w:val="24"/>
    </w:rPr>
  </w:style>
  <w:style w:type="paragraph" w:styleId="18">
    <w:name w:val="index 1"/>
    <w:basedOn w:val="1"/>
    <w:next w:val="1"/>
    <w:qFormat/>
    <w:uiPriority w:val="0"/>
    <w:pPr>
      <w:jc w:val="center"/>
    </w:pPr>
    <w:rPr>
      <w:rFonts w:ascii="Arial" w:hAnsi="Arial" w:eastAsia="Arial" w:cs="Arial"/>
      <w:b/>
      <w:bCs/>
      <w:sz w:val="28"/>
    </w:rPr>
  </w:style>
  <w:style w:type="paragraph" w:styleId="19">
    <w:name w:val="Body Text First Indent 2"/>
    <w:basedOn w:val="10"/>
    <w:next w:val="1"/>
    <w:qFormat/>
    <w:uiPriority w:val="0"/>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99"/>
    <w:rPr>
      <w:color w:val="0000FF"/>
      <w:u w:val="none"/>
    </w:rPr>
  </w:style>
  <w:style w:type="character" w:styleId="24">
    <w:name w:val="annotation reference"/>
    <w:unhideWhenUsed/>
    <w:qFormat/>
    <w:uiPriority w:val="99"/>
    <w:rPr>
      <w:sz w:val="21"/>
      <w:szCs w:val="21"/>
    </w:rPr>
  </w:style>
  <w:style w:type="paragraph" w:customStyle="1" w:styleId="25">
    <w:name w:val="正文 New"/>
    <w:basedOn w:val="1"/>
    <w:qFormat/>
    <w:uiPriority w:val="0"/>
    <w:pPr>
      <w:spacing w:before="100" w:beforeAutospacing="1" w:after="100" w:afterAutospacing="1" w:line="440" w:lineRule="exact"/>
      <w:ind w:left="357" w:hanging="357"/>
    </w:pPr>
    <w:rPr>
      <w:szCs w:val="21"/>
    </w:rPr>
  </w:style>
  <w:style w:type="paragraph" w:customStyle="1" w:styleId="26">
    <w:name w:val="样式 标题 2 + 段后: 156 磅"/>
    <w:basedOn w:val="4"/>
    <w:qFormat/>
    <w:uiPriority w:val="0"/>
    <w:pPr>
      <w:spacing w:before="100" w:after="100" w:line="240" w:lineRule="auto"/>
    </w:pPr>
    <w:rPr>
      <w:rFonts w:cs="宋体"/>
      <w:bCs/>
      <w:sz w:val="30"/>
    </w:rPr>
  </w:style>
  <w:style w:type="paragraph" w:customStyle="1" w:styleId="27">
    <w:name w:val="xl31"/>
    <w:basedOn w:val="1"/>
    <w:qFormat/>
    <w:uiPriority w:val="0"/>
    <w:pPr>
      <w:widowControl/>
      <w:spacing w:before="100" w:beforeAutospacing="1" w:after="100" w:afterAutospacing="1"/>
      <w:jc w:val="center"/>
    </w:pPr>
    <w:rPr>
      <w:b/>
      <w:bCs/>
      <w:kern w:val="0"/>
      <w:sz w:val="28"/>
      <w:szCs w:val="28"/>
    </w:rPr>
  </w:style>
  <w:style w:type="paragraph" w:customStyle="1" w:styleId="28">
    <w:name w:val="模板普通正文"/>
    <w:basedOn w:val="10"/>
    <w:qFormat/>
    <w:uiPriority w:val="0"/>
    <w:pPr>
      <w:spacing w:beforeLines="50" w:after="10"/>
      <w:ind w:firstLine="490" w:firstLineChars="175"/>
      <w:jc w:val="left"/>
    </w:pPr>
  </w:style>
  <w:style w:type="paragraph" w:customStyle="1" w:styleId="29">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31">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har Char Char Char Char Char Char1 Char"/>
    <w:basedOn w:val="1"/>
    <w:qFormat/>
    <w:uiPriority w:val="0"/>
    <w:rPr>
      <w:rFonts w:ascii="Arial" w:hAnsi="Arial" w:cs="Arial"/>
      <w:sz w:val="24"/>
    </w:rPr>
  </w:style>
  <w:style w:type="paragraph" w:styleId="33">
    <w:name w:val="List Paragraph"/>
    <w:basedOn w:val="1"/>
    <w:qFormat/>
    <w:uiPriority w:val="34"/>
    <w:pPr>
      <w:ind w:firstLine="420"/>
    </w:pPr>
  </w:style>
  <w:style w:type="paragraph" w:customStyle="1" w:styleId="34">
    <w:name w:val="Z文"/>
    <w:basedOn w:val="1"/>
    <w:qFormat/>
    <w:uiPriority w:val="0"/>
    <w:rPr>
      <w:rFonts w:ascii="Time New Romes" w:hAnsi="Time New Romes" w:cstheme="minorBidi"/>
      <w:sz w:val="24"/>
    </w:rPr>
  </w:style>
  <w:style w:type="paragraph" w:customStyle="1" w:styleId="35">
    <w:name w:val="FC正文"/>
    <w:basedOn w:val="1"/>
    <w:qFormat/>
    <w:uiPriority w:val="0"/>
    <w:pPr>
      <w:ind w:firstLine="480"/>
    </w:pPr>
    <w:rPr>
      <w:rFonts w:ascii="宋体" w:hAnsi="宋体" w:eastAsia="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2347</Words>
  <Characters>2418</Characters>
  <Lines>0</Lines>
  <Paragraphs>0</Paragraphs>
  <TotalTime>44</TotalTime>
  <ScaleCrop>false</ScaleCrop>
  <LinksUpToDate>false</LinksUpToDate>
  <CharactersWithSpaces>2455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2023-05-21T03:52:00Z</dcterms:created>
  <dc:creator>WPS_772201888</dc:creator>
  <cp:lastModifiedBy>无名</cp:lastModifiedBy>
  <cp:lastPrinted>2024-07-19T06:58:00Z</cp:lastPrinted>
  <dcterms:modified xsi:type="dcterms:W3CDTF">2024-07-30T03:07:58Z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E2E50282B9154FF4AEEF720A5C9AC662_13</vt:lpwstr>
  </property>
</Properties>
</file>