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40"/>
        </w:tabs>
        <w:autoSpaceDE w:val="0"/>
        <w:autoSpaceDN w:val="0"/>
        <w:spacing w:line="360" w:lineRule="auto"/>
        <w:jc w:val="center"/>
        <w:rPr>
          <w:rFonts w:hint="eastAsia" w:ascii="宋体" w:hAnsi="宋体" w:cs="宋体"/>
          <w:b/>
          <w:bCs/>
          <w:kern w:val="44"/>
          <w:sz w:val="32"/>
          <w:szCs w:val="21"/>
        </w:rPr>
      </w:pPr>
      <w:r>
        <w:rPr>
          <w:rFonts w:hint="eastAsia" w:ascii="宋体" w:hAnsi="宋体" w:cs="宋体"/>
          <w:b/>
          <w:bCs/>
          <w:kern w:val="44"/>
          <w:sz w:val="32"/>
          <w:szCs w:val="21"/>
        </w:rPr>
        <w:t>采购需求及技术要求</w:t>
      </w:r>
    </w:p>
    <w:p>
      <w:pPr>
        <w:pStyle w:val="2"/>
        <w:jc w:val="both"/>
        <w:rPr>
          <w:rFonts w:ascii="宋体" w:hAnsi="宋体" w:cs="宋体"/>
          <w:snapToGrid w:val="0"/>
          <w:kern w:val="2"/>
          <w:sz w:val="21"/>
          <w:szCs w:val="21"/>
        </w:rPr>
      </w:pPr>
      <w:r>
        <w:rPr>
          <w:rFonts w:hint="eastAsia" w:ascii="宋体" w:hAnsi="宋体" w:cs="宋体"/>
          <w:snapToGrid w:val="0"/>
          <w:kern w:val="2"/>
          <w:sz w:val="21"/>
          <w:szCs w:val="21"/>
        </w:rPr>
        <w:t>1、采购内容：</w:t>
      </w:r>
    </w:p>
    <w:tbl>
      <w:tblPr>
        <w:tblStyle w:val="3"/>
        <w:tblW w:w="4757" w:type="pct"/>
        <w:tblInd w:w="0" w:type="dxa"/>
        <w:tblLayout w:type="autofit"/>
        <w:tblCellMar>
          <w:top w:w="0" w:type="dxa"/>
          <w:left w:w="108" w:type="dxa"/>
          <w:bottom w:w="0" w:type="dxa"/>
          <w:right w:w="108" w:type="dxa"/>
        </w:tblCellMar>
      </w:tblPr>
      <w:tblGrid>
        <w:gridCol w:w="1095"/>
        <w:gridCol w:w="3999"/>
        <w:gridCol w:w="1140"/>
        <w:gridCol w:w="1874"/>
      </w:tblGrid>
      <w:tr>
        <w:tblPrEx>
          <w:tblCellMar>
            <w:top w:w="0" w:type="dxa"/>
            <w:left w:w="108" w:type="dxa"/>
            <w:bottom w:w="0" w:type="dxa"/>
            <w:right w:w="108" w:type="dxa"/>
          </w:tblCellMar>
        </w:tblPrEx>
        <w:trPr>
          <w:trHeight w:val="398" w:hRule="atLeast"/>
        </w:trPr>
        <w:tc>
          <w:tcPr>
            <w:tcW w:w="6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24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品名</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c>
          <w:tcPr>
            <w:tcW w:w="115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单价</w:t>
            </w:r>
          </w:p>
        </w:tc>
      </w:tr>
      <w:tr>
        <w:tblPrEx>
          <w:tblCellMar>
            <w:top w:w="0" w:type="dxa"/>
            <w:left w:w="108" w:type="dxa"/>
            <w:bottom w:w="0" w:type="dxa"/>
            <w:right w:w="108" w:type="dxa"/>
          </w:tblCellMar>
        </w:tblPrEx>
        <w:trPr>
          <w:trHeight w:val="598" w:hRule="atLeast"/>
        </w:trPr>
        <w:tc>
          <w:tcPr>
            <w:tcW w:w="6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46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新型冠状病毒2019-nCoV核酸检测试剂盒（荧光PCR法）</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人份</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highlight w:val="green"/>
              </w:rPr>
            </w:pPr>
            <w:r>
              <w:rPr>
                <w:rFonts w:hint="eastAsia" w:ascii="宋体" w:hAnsi="宋体" w:cs="宋体"/>
                <w:color w:val="000000"/>
                <w:kern w:val="0"/>
                <w:szCs w:val="21"/>
                <w:lang w:bidi="ar"/>
              </w:rPr>
              <w:t>13元/人份</w:t>
            </w:r>
          </w:p>
        </w:tc>
      </w:tr>
      <w:tr>
        <w:tblPrEx>
          <w:tblCellMar>
            <w:top w:w="0" w:type="dxa"/>
            <w:left w:w="108" w:type="dxa"/>
            <w:bottom w:w="0" w:type="dxa"/>
            <w:right w:w="108" w:type="dxa"/>
          </w:tblCellMar>
        </w:tblPrEx>
        <w:trPr>
          <w:trHeight w:val="361" w:hRule="atLeast"/>
        </w:trPr>
        <w:tc>
          <w:tcPr>
            <w:tcW w:w="6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46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新冠提取试剂</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人份</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9.9元/人份</w:t>
            </w:r>
          </w:p>
        </w:tc>
      </w:tr>
      <w:tr>
        <w:tblPrEx>
          <w:tblCellMar>
            <w:top w:w="0" w:type="dxa"/>
            <w:left w:w="108" w:type="dxa"/>
            <w:bottom w:w="0" w:type="dxa"/>
            <w:right w:w="108" w:type="dxa"/>
          </w:tblCellMar>
        </w:tblPrEx>
        <w:trPr>
          <w:trHeight w:val="361" w:hRule="atLeast"/>
        </w:trPr>
        <w:tc>
          <w:tcPr>
            <w:tcW w:w="6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46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一次性使用病毒采样管（单采）</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人份</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2元/人份</w:t>
            </w:r>
          </w:p>
        </w:tc>
      </w:tr>
      <w:tr>
        <w:tblPrEx>
          <w:tblCellMar>
            <w:top w:w="0" w:type="dxa"/>
            <w:left w:w="108" w:type="dxa"/>
            <w:bottom w:w="0" w:type="dxa"/>
            <w:right w:w="108" w:type="dxa"/>
          </w:tblCellMar>
        </w:tblPrEx>
        <w:trPr>
          <w:trHeight w:val="391" w:hRule="atLeast"/>
        </w:trPr>
        <w:tc>
          <w:tcPr>
            <w:tcW w:w="6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46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一次性使用采样器（咽拭子）</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0.1元/根</w:t>
            </w:r>
          </w:p>
        </w:tc>
      </w:tr>
    </w:tbl>
    <w:p>
      <w:pPr>
        <w:widowControl/>
        <w:snapToGrid w:val="0"/>
        <w:spacing w:line="360" w:lineRule="auto"/>
        <w:ind w:firstLine="422" w:firstLineChars="200"/>
        <w:jc w:val="left"/>
        <w:textAlignment w:val="center"/>
        <w:rPr>
          <w:rFonts w:hint="eastAsia" w:ascii="宋体" w:hAnsi="宋体"/>
          <w:b/>
          <w:bCs/>
          <w:szCs w:val="21"/>
        </w:rPr>
      </w:pPr>
      <w:r>
        <w:rPr>
          <w:rFonts w:hint="eastAsia" w:ascii="宋体" w:hAnsi="宋体"/>
          <w:b/>
          <w:bCs/>
          <w:szCs w:val="21"/>
        </w:rPr>
        <w:t>备注：</w:t>
      </w:r>
    </w:p>
    <w:p>
      <w:pPr>
        <w:pageBreakBefore w:val="0"/>
        <w:widowControl/>
        <w:numPr>
          <w:ilvl w:val="0"/>
          <w:numId w:val="0"/>
        </w:numPr>
        <w:kinsoku/>
        <w:wordWrap/>
        <w:overflowPunct/>
        <w:topLinePunct w:val="0"/>
        <w:autoSpaceDE/>
        <w:autoSpaceDN/>
        <w:bidi w:val="0"/>
        <w:adjustRightInd/>
        <w:snapToGrid/>
        <w:spacing w:line="360" w:lineRule="auto"/>
        <w:ind w:left="422" w:leftChars="0"/>
        <w:jc w:val="left"/>
        <w:textAlignment w:val="center"/>
        <w:rPr>
          <w:rFonts w:hint="eastAsia" w:ascii="宋体" w:hAnsi="宋体"/>
          <w:b/>
          <w:bCs/>
          <w:szCs w:val="21"/>
          <w:highlight w:val="none"/>
        </w:rPr>
      </w:pPr>
      <w:r>
        <w:rPr>
          <w:rFonts w:hint="eastAsia" w:ascii="宋体" w:hAnsi="宋体"/>
          <w:b/>
          <w:bCs/>
          <w:szCs w:val="21"/>
          <w:lang w:eastAsia="zh-CN"/>
        </w:rPr>
        <w:t>（</w:t>
      </w:r>
      <w:r>
        <w:rPr>
          <w:rFonts w:hint="eastAsia" w:ascii="宋体" w:hAnsi="宋体"/>
          <w:b/>
          <w:bCs/>
          <w:szCs w:val="21"/>
          <w:lang w:val="en-US" w:eastAsia="zh-CN"/>
        </w:rPr>
        <w:t>1）</w:t>
      </w:r>
      <w:r>
        <w:rPr>
          <w:rFonts w:hint="eastAsia" w:ascii="宋体" w:hAnsi="宋体"/>
          <w:b/>
          <w:bCs/>
          <w:szCs w:val="21"/>
        </w:rPr>
        <w:t>本次采购的医用耗材及试剂需适用医院现有的新型冠状病毒核酸检测设备“实时荧光核酸扩</w:t>
      </w:r>
      <w:r>
        <w:rPr>
          <w:rFonts w:hint="eastAsia" w:ascii="宋体" w:hAnsi="宋体"/>
          <w:b/>
          <w:bCs/>
          <w:szCs w:val="21"/>
          <w:highlight w:val="none"/>
        </w:rPr>
        <w:t>增分析仪”，</w:t>
      </w:r>
      <w:r>
        <w:rPr>
          <w:rFonts w:hint="eastAsia" w:ascii="宋体" w:hAnsi="宋体"/>
          <w:b/>
          <w:bCs/>
          <w:szCs w:val="21"/>
          <w:highlight w:val="none"/>
          <w:lang w:eastAsia="zh-CN"/>
        </w:rPr>
        <w:t>设备生产</w:t>
      </w:r>
      <w:r>
        <w:rPr>
          <w:rFonts w:hint="eastAsia" w:ascii="宋体" w:hAnsi="宋体"/>
          <w:b/>
          <w:bCs/>
          <w:szCs w:val="21"/>
          <w:highlight w:val="none"/>
        </w:rPr>
        <w:t>厂家：上海宏石；型号：SLAN96S。</w:t>
      </w:r>
    </w:p>
    <w:p>
      <w:pPr>
        <w:pStyle w:val="2"/>
        <w:pageBreakBefore w:val="0"/>
        <w:numPr>
          <w:ilvl w:val="0"/>
          <w:numId w:val="0"/>
        </w:numPr>
        <w:kinsoku/>
        <w:wordWrap/>
        <w:overflowPunct/>
        <w:topLinePunct w:val="0"/>
        <w:autoSpaceDE/>
        <w:autoSpaceDN/>
        <w:bidi w:val="0"/>
        <w:adjustRightInd/>
        <w:snapToGrid/>
        <w:spacing w:before="0" w:after="0" w:line="360" w:lineRule="auto"/>
        <w:ind w:left="0" w:firstLine="422" w:firstLineChars="200"/>
        <w:jc w:val="both"/>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（2）若所供试剂在安徽省医药集中采购中心平台上，谈判响应供应商须保证该试剂严格执行安徽省医药集中采购中心平台价格上传有关要求。</w:t>
      </w:r>
    </w:p>
    <w:p>
      <w:pPr>
        <w:pageBreakBefore w:val="0"/>
        <w:kinsoku/>
        <w:wordWrap/>
        <w:overflowPunct/>
        <w:topLinePunct w:val="0"/>
        <w:autoSpaceDE/>
        <w:autoSpaceDN/>
        <w:bidi w:val="0"/>
        <w:adjustRightInd/>
        <w:snapToGrid/>
        <w:spacing w:line="360" w:lineRule="auto"/>
        <w:ind w:left="0" w:firstLine="422" w:firstLineChars="200"/>
        <w:rPr>
          <w:rFonts w:hint="default"/>
          <w:lang w:val="en-US" w:eastAsia="zh-CN"/>
        </w:rPr>
      </w:pPr>
      <w:r>
        <w:rPr>
          <w:rFonts w:hint="eastAsia" w:ascii="宋体" w:hAnsi="宋体" w:eastAsia="宋体" w:cs="Times New Roman"/>
          <w:b/>
          <w:bCs/>
          <w:kern w:val="2"/>
          <w:sz w:val="21"/>
          <w:szCs w:val="21"/>
          <w:highlight w:val="none"/>
          <w:lang w:val="en-US" w:eastAsia="zh-CN" w:bidi="ar-SA"/>
        </w:rPr>
        <w:t>（3）如因医保收费价格调整，采购价格按医保收费价格同比例下浮。</w:t>
      </w:r>
    </w:p>
    <w:p>
      <w:pPr>
        <w:pageBreakBefore w:val="0"/>
        <w:kinsoku/>
        <w:wordWrap/>
        <w:overflowPunct/>
        <w:topLinePunct w:val="0"/>
        <w:autoSpaceDE/>
        <w:autoSpaceDN/>
        <w:bidi w:val="0"/>
        <w:adjustRightInd/>
        <w:snapToGrid/>
        <w:spacing w:line="360" w:lineRule="auto"/>
        <w:ind w:left="0" w:firstLine="422" w:firstLineChars="200"/>
        <w:rPr>
          <w:rFonts w:hint="eastAsia"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4</w:t>
      </w:r>
      <w:r>
        <w:rPr>
          <w:rFonts w:hint="eastAsia" w:ascii="宋体" w:hAnsi="宋体"/>
          <w:b/>
          <w:bCs/>
          <w:szCs w:val="21"/>
          <w:highlight w:val="none"/>
        </w:rPr>
        <w:t>）伴随服务要求：</w:t>
      </w:r>
    </w:p>
    <w:p>
      <w:pPr>
        <w:pageBreakBefore w:val="0"/>
        <w:kinsoku/>
        <w:wordWrap/>
        <w:overflowPunct/>
        <w:topLinePunct w:val="0"/>
        <w:autoSpaceDE/>
        <w:autoSpaceDN/>
        <w:bidi w:val="0"/>
        <w:adjustRightInd/>
        <w:snapToGrid/>
        <w:spacing w:line="360" w:lineRule="auto"/>
        <w:ind w:left="0" w:firstLine="422" w:firstLineChars="200"/>
        <w:rPr>
          <w:rFonts w:hint="eastAsia" w:ascii="宋体" w:hAnsi="宋体"/>
          <w:b/>
          <w:bCs/>
          <w:szCs w:val="21"/>
          <w:highlight w:val="none"/>
        </w:rPr>
      </w:pPr>
      <w:r>
        <w:rPr>
          <w:rFonts w:hint="eastAsia" w:ascii="宋体" w:hAnsi="宋体"/>
          <w:b/>
          <w:bCs/>
          <w:szCs w:val="21"/>
          <w:highlight w:val="none"/>
        </w:rPr>
        <w:t>①根据核酸检测实际工作需求，自合同签订后，成交供应商成交后需提供：不低于3名采样人员、不低于3名运输人员、1辆及以上运输车辆，每日协助采购人外出或在本院（本部和北院区）内采样，并将现场采集所用设备运回安庆市中医</w:t>
      </w:r>
      <w:r>
        <w:rPr>
          <w:rFonts w:hint="eastAsia" w:ascii="宋体" w:hAnsi="宋体" w:eastAsia="宋体" w:cs="Times New Roman"/>
          <w:b/>
          <w:bCs/>
          <w:szCs w:val="21"/>
          <w:highlight w:val="none"/>
        </w:rPr>
        <w:t>医院</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lang w:val="en-US" w:eastAsia="zh-CN"/>
        </w:rPr>
        <w:t>北院区）</w:t>
      </w:r>
      <w:r>
        <w:rPr>
          <w:rFonts w:hint="eastAsia" w:ascii="宋体" w:hAnsi="宋体" w:eastAsia="宋体" w:cs="Times New Roman"/>
          <w:b/>
          <w:bCs/>
          <w:szCs w:val="21"/>
          <w:highlight w:val="none"/>
        </w:rPr>
        <w:t>；</w:t>
      </w:r>
      <w:r>
        <w:rPr>
          <w:rFonts w:hint="eastAsia" w:ascii="宋体" w:hAnsi="宋体"/>
          <w:b/>
          <w:bCs/>
          <w:szCs w:val="21"/>
          <w:highlight w:val="none"/>
        </w:rPr>
        <w:br w:type="textWrapping"/>
      </w:r>
      <w:r>
        <w:rPr>
          <w:rFonts w:hint="eastAsia" w:ascii="宋体" w:hAnsi="宋体"/>
          <w:b/>
          <w:bCs/>
          <w:szCs w:val="21"/>
          <w:highlight w:val="none"/>
        </w:rPr>
        <w:t xml:space="preserve">    ②根据现场实际情况，若上述人员无法满足工作需求，成交供应商需随时增加人员、车辆，并根据相关规定和检测量，按照医院要求，免费为PCR实验室提升检测能力。</w:t>
      </w:r>
    </w:p>
    <w:p>
      <w:pPr>
        <w:spacing w:line="360" w:lineRule="auto"/>
        <w:ind w:firstLine="422" w:firstLineChars="200"/>
        <w:rPr>
          <w:rFonts w:hint="eastAsia" w:ascii="宋体" w:hAnsi="宋体" w:cs="宋体"/>
          <w:b/>
          <w:bCs/>
          <w:snapToGrid w:val="0"/>
          <w:szCs w:val="21"/>
        </w:rPr>
      </w:pPr>
      <w:r>
        <w:rPr>
          <w:rFonts w:hint="eastAsia" w:ascii="宋体" w:hAnsi="宋体" w:cs="宋体"/>
          <w:b/>
          <w:bCs/>
          <w:snapToGrid w:val="0"/>
          <w:szCs w:val="21"/>
        </w:rPr>
        <w:t>2、交货要求：</w:t>
      </w:r>
    </w:p>
    <w:p>
      <w:pPr>
        <w:widowControl/>
        <w:spacing w:line="360" w:lineRule="auto"/>
        <w:ind w:firstLine="420" w:firstLineChars="200"/>
        <w:rPr>
          <w:rFonts w:hint="eastAsia" w:ascii="宋体" w:hAnsi="宋体" w:cs="宋体"/>
          <w:snapToGrid w:val="0"/>
          <w:szCs w:val="21"/>
        </w:rPr>
      </w:pPr>
      <w:r>
        <w:rPr>
          <w:rFonts w:hint="eastAsia" w:ascii="宋体" w:hAnsi="宋体" w:cs="宋体"/>
          <w:snapToGrid w:val="0"/>
          <w:szCs w:val="21"/>
        </w:rPr>
        <w:t>（1）交货地点：合同签订后将货物送至采购人指定地点。</w:t>
      </w:r>
    </w:p>
    <w:p>
      <w:pPr>
        <w:spacing w:line="360" w:lineRule="auto"/>
        <w:ind w:firstLine="420" w:firstLineChars="200"/>
        <w:rPr>
          <w:rFonts w:hint="eastAsia" w:ascii="宋体" w:hAnsi="宋体" w:cs="宋体"/>
          <w:szCs w:val="22"/>
        </w:rPr>
      </w:pPr>
      <w:r>
        <w:rPr>
          <w:rFonts w:hint="eastAsia" w:ascii="宋体" w:hAnsi="宋体" w:cs="宋体"/>
          <w:szCs w:val="22"/>
        </w:rPr>
        <w:t>（2）交货时间：自合同签订后，按采购人要求分批次供货，接到采购人供货通知后7日内完成供货。</w:t>
      </w:r>
    </w:p>
    <w:p>
      <w:pPr>
        <w:spacing w:line="360" w:lineRule="auto"/>
        <w:ind w:firstLine="422" w:firstLineChars="200"/>
        <w:rPr>
          <w:rFonts w:hint="eastAsia" w:ascii="宋体" w:hAnsi="宋体" w:cs="宋体"/>
          <w:szCs w:val="21"/>
        </w:rPr>
      </w:pPr>
      <w:r>
        <w:rPr>
          <w:rFonts w:hint="eastAsia" w:ascii="宋体" w:hAnsi="宋体" w:cs="宋体"/>
          <w:b/>
          <w:bCs/>
          <w:snapToGrid w:val="0"/>
          <w:szCs w:val="21"/>
        </w:rPr>
        <w:t>3、货物质量要求：</w:t>
      </w:r>
      <w:r>
        <w:rPr>
          <w:rFonts w:hint="eastAsia" w:ascii="宋体" w:hAnsi="宋体" w:cs="宋体"/>
          <w:snapToGrid w:val="0"/>
          <w:szCs w:val="21"/>
        </w:rPr>
        <w:t>成交供应商提供的产品其技术标准按国家标准执行，无国家标准的，按行业标准执行，无国家和行业标准的，按企业标准执行；竞争性谈判文件中有特别要求的，按竞争性谈判文件中规定的要求执行，并且符合相关法律、法规规定的要求。</w:t>
      </w:r>
    </w:p>
    <w:p>
      <w:pPr>
        <w:spacing w:line="360" w:lineRule="auto"/>
        <w:ind w:firstLine="422" w:firstLineChars="200"/>
        <w:rPr>
          <w:rFonts w:hint="eastAsia" w:ascii="宋体" w:hAnsi="宋体" w:cs="宋体"/>
          <w:szCs w:val="21"/>
        </w:rPr>
      </w:pPr>
      <w:r>
        <w:rPr>
          <w:rFonts w:hint="eastAsia" w:ascii="宋体" w:hAnsi="宋体" w:cs="宋体"/>
          <w:b/>
          <w:bCs/>
          <w:snapToGrid w:val="0"/>
          <w:szCs w:val="21"/>
        </w:rPr>
        <w:t>4、售后服务：</w:t>
      </w:r>
      <w:r>
        <w:rPr>
          <w:rFonts w:hint="eastAsia" w:ascii="宋体" w:hAnsi="宋体" w:cs="宋体"/>
          <w:bCs/>
          <w:szCs w:val="21"/>
        </w:rPr>
        <w:t>依据商品的售后服务条款，</w:t>
      </w:r>
      <w:r>
        <w:rPr>
          <w:rFonts w:hint="eastAsia" w:ascii="宋体" w:hAnsi="宋体" w:cs="宋体"/>
          <w:szCs w:val="21"/>
        </w:rPr>
        <w:t>供应商应负责产品的质量，如出现问题，接到采购方通知后1小时内给予响应并应负责包退、包换，并承担因产品质量问题导致的一切后果。</w:t>
      </w:r>
    </w:p>
    <w:p>
      <w:pPr>
        <w:spacing w:line="360" w:lineRule="auto"/>
        <w:ind w:firstLine="422" w:firstLineChars="200"/>
        <w:rPr>
          <w:rFonts w:hint="eastAsia" w:ascii="宋体" w:hAnsi="宋体" w:cs="宋体"/>
          <w:szCs w:val="21"/>
        </w:rPr>
      </w:pPr>
      <w:r>
        <w:rPr>
          <w:rFonts w:hint="eastAsia" w:ascii="宋体" w:hAnsi="宋体" w:cs="宋体"/>
          <w:b/>
          <w:bCs/>
          <w:snapToGrid w:val="0"/>
          <w:szCs w:val="21"/>
          <w:highlight w:val="none"/>
        </w:rPr>
        <w:t>5、报价要求：</w:t>
      </w:r>
      <w:r>
        <w:rPr>
          <w:rFonts w:hint="eastAsia" w:ascii="宋体" w:hAnsi="宋体" w:cs="宋体"/>
          <w:szCs w:val="21"/>
          <w:highlight w:val="none"/>
        </w:rPr>
        <w:t>谈判响应供应商按单价进行报</w:t>
      </w:r>
      <w:r>
        <w:rPr>
          <w:rFonts w:hint="eastAsia" w:ascii="宋体" w:hAnsi="宋体" w:cs="宋体"/>
          <w:bCs/>
          <w:snapToGrid w:val="0"/>
          <w:szCs w:val="21"/>
          <w:highlight w:val="none"/>
        </w:rPr>
        <w:t>价，其</w:t>
      </w:r>
      <w:r>
        <w:rPr>
          <w:rFonts w:hint="eastAsia"/>
          <w:szCs w:val="21"/>
          <w:highlight w:val="none"/>
        </w:rPr>
        <w:t>报价不得超过最高单价限价；</w:t>
      </w:r>
      <w:r>
        <w:rPr>
          <w:rFonts w:hint="eastAsia" w:ascii="宋体" w:hAnsi="宋体" w:cs="宋体"/>
          <w:szCs w:val="21"/>
          <w:highlight w:val="none"/>
        </w:rPr>
        <w:t>谈判</w:t>
      </w:r>
      <w:r>
        <w:rPr>
          <w:rFonts w:hint="eastAsia" w:ascii="宋体" w:hAnsi="宋体" w:cs="宋体"/>
          <w:szCs w:val="21"/>
        </w:rPr>
        <w:t>响应供应商应结合采购需求及现场情况合理报价，一旦成交，成交单价后期将不作任何调整。</w:t>
      </w:r>
    </w:p>
    <w:p>
      <w:pPr>
        <w:spacing w:line="360" w:lineRule="auto"/>
        <w:ind w:firstLine="422" w:firstLineChars="200"/>
        <w:rPr>
          <w:rFonts w:hint="eastAsia" w:ascii="宋体" w:hAnsi="宋体" w:cs="宋体"/>
          <w:b/>
          <w:bCs/>
          <w:snapToGrid w:val="0"/>
          <w:szCs w:val="21"/>
        </w:rPr>
      </w:pPr>
      <w:r>
        <w:rPr>
          <w:rFonts w:hint="eastAsia" w:ascii="宋体" w:hAnsi="宋体" w:cs="宋体"/>
          <w:b/>
          <w:bCs/>
          <w:snapToGrid w:val="0"/>
          <w:szCs w:val="21"/>
        </w:rPr>
        <w:t>6、其他要求：</w:t>
      </w:r>
    </w:p>
    <w:p>
      <w:pPr>
        <w:spacing w:line="360" w:lineRule="auto"/>
        <w:ind w:firstLine="420" w:firstLineChars="200"/>
      </w:pPr>
      <w:r>
        <w:rPr>
          <w:rFonts w:hint="eastAsia" w:ascii="宋体" w:hAnsi="宋体" w:cs="宋体"/>
          <w:snapToGrid w:val="0"/>
          <w:szCs w:val="21"/>
        </w:rPr>
        <w:t>（1）供货及时周到，产品质量不符合国家规定标准的应及时退、换货。</w:t>
      </w:r>
    </w:p>
    <w:p>
      <w:pPr>
        <w:spacing w:line="360" w:lineRule="auto"/>
        <w:ind w:firstLine="420" w:firstLineChars="200"/>
        <w:rPr>
          <w:rFonts w:hint="eastAsia" w:ascii="宋体" w:hAnsi="宋体" w:cs="宋体"/>
          <w:snapToGrid w:val="0"/>
          <w:szCs w:val="21"/>
        </w:rPr>
      </w:pPr>
      <w:r>
        <w:rPr>
          <w:rFonts w:hint="eastAsia" w:ascii="宋体" w:hAnsi="宋体" w:cs="宋体"/>
          <w:snapToGrid w:val="0"/>
          <w:szCs w:val="21"/>
        </w:rPr>
        <w:t>（2）最终供货数量以招标人实际采购的数量为准，采购单价不变。</w:t>
      </w:r>
    </w:p>
    <w:p>
      <w:pPr>
        <w:snapToGrid w:val="0"/>
        <w:spacing w:line="480" w:lineRule="exact"/>
        <w:ind w:firstLine="422" w:firstLineChars="200"/>
        <w:rPr>
          <w:rFonts w:hint="eastAsia" w:ascii="宋体" w:hAnsi="宋体" w:cs="宋体"/>
          <w:b/>
          <w:bCs/>
          <w:snapToGrid w:val="0"/>
          <w:szCs w:val="21"/>
        </w:rPr>
      </w:pPr>
      <w:r>
        <w:rPr>
          <w:rFonts w:hint="eastAsia" w:ascii="宋体" w:hAnsi="宋体" w:cs="宋体"/>
          <w:b/>
          <w:bCs/>
          <w:snapToGrid w:val="0"/>
          <w:szCs w:val="21"/>
        </w:rPr>
        <w:t>7、付款方式：</w:t>
      </w:r>
    </w:p>
    <w:p>
      <w:pPr>
        <w:spacing w:line="360" w:lineRule="auto"/>
        <w:ind w:firstLine="422" w:firstLineChars="200"/>
        <w:rPr>
          <w:rFonts w:hint="eastAsia" w:ascii="宋体" w:hAnsi="宋体" w:cs="宋体"/>
          <w:b/>
          <w:bCs w:val="0"/>
          <w:szCs w:val="21"/>
          <w:highlight w:val="none"/>
        </w:rPr>
      </w:pPr>
      <w:r>
        <w:rPr>
          <w:rFonts w:hint="eastAsia" w:ascii="宋体" w:hAnsi="宋体" w:cs="宋体"/>
          <w:b/>
          <w:bCs w:val="0"/>
          <w:szCs w:val="21"/>
          <w:highlight w:val="none"/>
        </w:rPr>
        <w:t>（1）结算原则：结算时按实际供货数量进行结算，综合单价不变。</w:t>
      </w:r>
    </w:p>
    <w:p>
      <w:pPr>
        <w:spacing w:line="360" w:lineRule="auto"/>
        <w:ind w:firstLine="422" w:firstLineChars="200"/>
        <w:rPr>
          <w:rFonts w:hint="eastAsia" w:ascii="宋体" w:hAnsi="宋体" w:eastAsia="宋体" w:cs="宋体"/>
          <w:b/>
          <w:bCs w:val="0"/>
          <w:snapToGrid w:val="0"/>
          <w:szCs w:val="21"/>
          <w:highlight w:val="none"/>
          <w:lang w:eastAsia="zh-CN"/>
        </w:rPr>
      </w:pPr>
      <w:r>
        <w:rPr>
          <w:rFonts w:hint="eastAsia" w:ascii="宋体" w:hAnsi="宋体" w:cs="宋体"/>
          <w:b/>
          <w:bCs w:val="0"/>
          <w:szCs w:val="21"/>
          <w:highlight w:val="none"/>
        </w:rPr>
        <w:t>（2）</w:t>
      </w:r>
      <w:r>
        <w:rPr>
          <w:rFonts w:hint="eastAsia" w:ascii="宋体" w:hAnsi="宋体" w:eastAsia="宋体" w:cs="宋体"/>
          <w:b/>
          <w:bCs w:val="0"/>
          <w:szCs w:val="21"/>
          <w:highlight w:val="none"/>
        </w:rPr>
        <w:t>按安庆市中医医院财务管理制度付款。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31C33"/>
    <w:rsid w:val="3A23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2021-11-30T06:58:00Z</dcterms:created>
  <dc:creator>楠</dc:creator>
  <cp:lastModifiedBy>楠</cp:lastModifiedBy>
  <dcterms:modified xsi:type="dcterms:W3CDTF">2021-11-30T06:59:05Z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02FAEC0BE2AB442396DB1F1A4D428D06</vt:lpwstr>
  </property>
</Properties>
</file>