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61C2D0">
      <w:pPr>
        <w:spacing w:line="360" w:lineRule="auto"/>
        <w:jc w:val="center"/>
        <w:rPr>
          <w:rFonts w:cs="宋体" w:asciiTheme="majorEastAsia" w:hAnsiTheme="majorEastAsia" w:eastAsiaTheme="majorEastAsia"/>
          <w:b/>
          <w:sz w:val="36"/>
          <w:szCs w:val="36"/>
        </w:rPr>
      </w:pPr>
    </w:p>
    <w:p w14:paraId="1AA621E0">
      <w:pPr>
        <w:spacing w:line="360" w:lineRule="auto"/>
        <w:jc w:val="center"/>
        <w:rPr>
          <w:rStyle w:val="35"/>
          <w:rFonts w:hint="eastAsia" w:hAnsi="宋体" w:cs="宋体" w:eastAsiaTheme="majorEastAsia"/>
          <w:b/>
          <w:bCs/>
          <w:sz w:val="44"/>
          <w:szCs w:val="44"/>
        </w:rPr>
      </w:pPr>
      <w:bookmarkStart w:id="0" w:name="_Hlk176800177"/>
      <w:bookmarkStart w:id="1" w:name="_Hlk176800277"/>
      <w:r>
        <w:rPr>
          <w:rStyle w:val="35"/>
          <w:rFonts w:hint="eastAsia" w:hAnsi="宋体" w:cs="宋体" w:eastAsiaTheme="majorEastAsia"/>
          <w:b/>
          <w:bCs/>
          <w:sz w:val="44"/>
          <w:szCs w:val="44"/>
        </w:rPr>
        <w:t>安庆市中医医院</w:t>
      </w:r>
      <w:bookmarkEnd w:id="0"/>
      <w:r>
        <w:rPr>
          <w:rStyle w:val="35"/>
          <w:rFonts w:hint="eastAsia" w:hAnsi="宋体" w:cs="宋体" w:eastAsiaTheme="majorEastAsia"/>
          <w:b/>
          <w:bCs/>
          <w:sz w:val="44"/>
          <w:szCs w:val="44"/>
        </w:rPr>
        <w:t>年度财务收支等审计服务</w:t>
      </w:r>
    </w:p>
    <w:p w14:paraId="31574085">
      <w:pPr>
        <w:spacing w:line="360" w:lineRule="auto"/>
        <w:jc w:val="center"/>
        <w:rPr>
          <w:rFonts w:hAnsi="宋体" w:cs="宋体" w:eastAsiaTheme="majorEastAsia"/>
          <w:b/>
          <w:bCs/>
          <w:sz w:val="44"/>
          <w:szCs w:val="44"/>
        </w:rPr>
      </w:pPr>
      <w:r>
        <w:rPr>
          <w:rStyle w:val="35"/>
          <w:rFonts w:hint="eastAsia" w:hAnsi="宋体" w:cs="宋体" w:eastAsiaTheme="majorEastAsia"/>
          <w:b/>
          <w:bCs/>
          <w:sz w:val="44"/>
          <w:szCs w:val="44"/>
        </w:rPr>
        <w:t>供应商采购项目</w:t>
      </w:r>
    </w:p>
    <w:bookmarkEnd w:id="1"/>
    <w:p w14:paraId="702582D2">
      <w:pPr>
        <w:rPr>
          <w:rFonts w:cs="宋体" w:asciiTheme="majorEastAsia" w:hAnsiTheme="majorEastAsia" w:eastAsiaTheme="majorEastAsia"/>
          <w:b/>
          <w:sz w:val="36"/>
          <w:szCs w:val="36"/>
        </w:rPr>
      </w:pPr>
    </w:p>
    <w:p w14:paraId="746BA993">
      <w:pPr>
        <w:pStyle w:val="2"/>
      </w:pPr>
    </w:p>
    <w:p w14:paraId="40B6CC60"/>
    <w:p w14:paraId="17D4FDEB">
      <w:pPr>
        <w:pStyle w:val="2"/>
      </w:pPr>
    </w:p>
    <w:p w14:paraId="25005F07"/>
    <w:p w14:paraId="14AB129A">
      <w:pPr>
        <w:pStyle w:val="2"/>
      </w:pPr>
    </w:p>
    <w:p w14:paraId="54CEE0C8">
      <w:pPr>
        <w:spacing w:line="360" w:lineRule="auto"/>
        <w:jc w:val="center"/>
        <w:rPr>
          <w:rFonts w:cs="宋体" w:asciiTheme="majorEastAsia" w:hAnsiTheme="majorEastAsia" w:eastAsiaTheme="majorEastAsia"/>
          <w:b/>
          <w:sz w:val="36"/>
          <w:szCs w:val="36"/>
        </w:rPr>
      </w:pPr>
    </w:p>
    <w:p w14:paraId="44C4ECDC">
      <w:pPr>
        <w:spacing w:line="360" w:lineRule="auto"/>
        <w:jc w:val="center"/>
        <w:rPr>
          <w:rFonts w:cs="宋体" w:asciiTheme="majorEastAsia" w:hAnsiTheme="majorEastAsia" w:eastAsiaTheme="majorEastAsia"/>
          <w:b/>
          <w:sz w:val="44"/>
          <w:szCs w:val="44"/>
        </w:rPr>
      </w:pPr>
      <w:bookmarkStart w:id="55" w:name="_GoBack"/>
      <w:r>
        <w:rPr>
          <w:rFonts w:hint="eastAsia" w:cs="宋体" w:asciiTheme="majorEastAsia" w:hAnsiTheme="majorEastAsia" w:eastAsiaTheme="majorEastAsia"/>
          <w:b/>
          <w:sz w:val="44"/>
          <w:szCs w:val="44"/>
        </w:rPr>
        <w:t>竞争性谈判文件</w:t>
      </w:r>
      <w:bookmarkEnd w:id="55"/>
    </w:p>
    <w:p w14:paraId="43FFE2DA">
      <w:pPr>
        <w:spacing w:line="360" w:lineRule="auto"/>
        <w:rPr>
          <w:rFonts w:cs="宋体" w:asciiTheme="majorEastAsia" w:hAnsiTheme="majorEastAsia" w:eastAsiaTheme="majorEastAsia"/>
          <w:b/>
          <w:sz w:val="24"/>
        </w:rPr>
      </w:pPr>
    </w:p>
    <w:p w14:paraId="78F2D52D">
      <w:pPr>
        <w:spacing w:line="360" w:lineRule="auto"/>
        <w:rPr>
          <w:rFonts w:cs="宋体" w:asciiTheme="majorEastAsia" w:hAnsiTheme="majorEastAsia" w:eastAsiaTheme="majorEastAsia"/>
          <w:b/>
          <w:sz w:val="24"/>
        </w:rPr>
      </w:pPr>
    </w:p>
    <w:p w14:paraId="144BA94F">
      <w:pPr>
        <w:spacing w:line="360" w:lineRule="auto"/>
        <w:rPr>
          <w:rFonts w:cs="宋体" w:asciiTheme="majorEastAsia" w:hAnsiTheme="majorEastAsia" w:eastAsiaTheme="majorEastAsia"/>
          <w:b/>
          <w:sz w:val="24"/>
        </w:rPr>
      </w:pPr>
    </w:p>
    <w:p w14:paraId="6388E6D2">
      <w:pPr>
        <w:pStyle w:val="2"/>
      </w:pPr>
    </w:p>
    <w:p w14:paraId="7F03B48D">
      <w:pPr>
        <w:spacing w:line="360" w:lineRule="auto"/>
        <w:rPr>
          <w:rFonts w:cs="宋体" w:asciiTheme="majorEastAsia" w:hAnsiTheme="majorEastAsia" w:eastAsiaTheme="majorEastAsia"/>
          <w:b/>
          <w:sz w:val="24"/>
        </w:rPr>
      </w:pPr>
    </w:p>
    <w:p w14:paraId="23171843">
      <w:pPr>
        <w:spacing w:line="360" w:lineRule="auto"/>
        <w:rPr>
          <w:rFonts w:cs="宋体" w:asciiTheme="majorEastAsia" w:hAnsiTheme="majorEastAsia" w:eastAsiaTheme="majorEastAsia"/>
          <w:b/>
          <w:sz w:val="24"/>
        </w:rPr>
      </w:pPr>
    </w:p>
    <w:p w14:paraId="103FE90D">
      <w:pPr>
        <w:spacing w:line="360" w:lineRule="auto"/>
        <w:rPr>
          <w:rFonts w:cs="宋体" w:asciiTheme="majorEastAsia" w:hAnsiTheme="majorEastAsia" w:eastAsiaTheme="majorEastAsia"/>
          <w:b/>
          <w:sz w:val="24"/>
        </w:rPr>
      </w:pPr>
    </w:p>
    <w:p w14:paraId="5B95F76B">
      <w:pPr>
        <w:spacing w:line="360" w:lineRule="auto"/>
        <w:rPr>
          <w:rFonts w:cs="宋体" w:asciiTheme="majorEastAsia" w:hAnsiTheme="majorEastAsia" w:eastAsiaTheme="majorEastAsia"/>
          <w:b/>
          <w:sz w:val="24"/>
        </w:rPr>
      </w:pPr>
    </w:p>
    <w:p w14:paraId="56483F70">
      <w:pPr>
        <w:spacing w:line="360" w:lineRule="auto"/>
        <w:rPr>
          <w:rFonts w:cs="宋体" w:asciiTheme="majorEastAsia" w:hAnsiTheme="majorEastAsia" w:eastAsiaTheme="majorEastAsia"/>
          <w:b/>
          <w:sz w:val="24"/>
        </w:rPr>
      </w:pPr>
    </w:p>
    <w:p w14:paraId="2D1710F1">
      <w:pPr>
        <w:pStyle w:val="4"/>
        <w:spacing w:before="0"/>
        <w:ind w:firstLine="1807" w:firstLineChars="600"/>
        <w:jc w:val="both"/>
        <w:rPr>
          <w:rFonts w:cs="宋体" w:asciiTheme="majorEastAsia" w:hAnsiTheme="majorEastAsia" w:eastAsiaTheme="majorEastAsia"/>
          <w:sz w:val="24"/>
        </w:rPr>
      </w:pPr>
      <w:r>
        <w:rPr>
          <w:rFonts w:hint="eastAsia" w:cs="宋体" w:asciiTheme="majorEastAsia" w:hAnsiTheme="majorEastAsia" w:eastAsiaTheme="majorEastAsia"/>
          <w:sz w:val="30"/>
          <w:szCs w:val="30"/>
        </w:rPr>
        <w:t>采 购 人：</w:t>
      </w:r>
      <w:r>
        <w:rPr>
          <w:rFonts w:hint="eastAsia" w:cs="宋体" w:asciiTheme="majorEastAsia" w:hAnsiTheme="majorEastAsia" w:eastAsiaTheme="majorEastAsia"/>
          <w:sz w:val="30"/>
          <w:szCs w:val="30"/>
          <w:u w:val="single"/>
        </w:rPr>
        <w:t xml:space="preserve">       </w:t>
      </w:r>
      <w:r>
        <w:rPr>
          <w:rFonts w:hint="eastAsia" w:cs="宋体" w:asciiTheme="majorEastAsia" w:hAnsiTheme="majorEastAsia" w:eastAsiaTheme="majorEastAsia"/>
          <w:kern w:val="2"/>
          <w:sz w:val="30"/>
          <w:szCs w:val="30"/>
          <w:u w:val="single"/>
        </w:rPr>
        <w:t xml:space="preserve">安庆市中医医院      </w:t>
      </w:r>
    </w:p>
    <w:p w14:paraId="5866FA2E">
      <w:pPr>
        <w:spacing w:line="360" w:lineRule="auto"/>
        <w:rPr>
          <w:rFonts w:cs="宋体" w:asciiTheme="majorEastAsia" w:hAnsiTheme="majorEastAsia" w:eastAsiaTheme="majorEastAsia"/>
          <w:b/>
          <w:sz w:val="24"/>
        </w:rPr>
      </w:pPr>
    </w:p>
    <w:p w14:paraId="3013DF24">
      <w:pPr>
        <w:spacing w:line="360" w:lineRule="auto"/>
        <w:jc w:val="center"/>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日  期：二0二四年九月</w:t>
      </w:r>
    </w:p>
    <w:p w14:paraId="182949B2">
      <w:pPr>
        <w:spacing w:line="360" w:lineRule="auto"/>
        <w:jc w:val="center"/>
        <w:rPr>
          <w:rFonts w:cs="宋体" w:asciiTheme="majorEastAsia" w:hAnsiTheme="majorEastAsia" w:eastAsiaTheme="majorEastAsia"/>
        </w:rPr>
      </w:pPr>
    </w:p>
    <w:p w14:paraId="54029912">
      <w:pPr>
        <w:rPr>
          <w:rFonts w:cs="宋体" w:asciiTheme="majorEastAsia" w:hAnsiTheme="majorEastAsia" w:eastAsiaTheme="majorEastAsia"/>
        </w:rPr>
      </w:pPr>
    </w:p>
    <w:p w14:paraId="1466B090">
      <w:pPr>
        <w:jc w:val="center"/>
        <w:rPr>
          <w:rFonts w:cs="宋体" w:asciiTheme="majorEastAsia" w:hAnsiTheme="majorEastAsia" w:eastAsiaTheme="majorEastAsia"/>
          <w:b/>
          <w:sz w:val="36"/>
          <w:szCs w:val="36"/>
        </w:rPr>
      </w:pPr>
    </w:p>
    <w:p w14:paraId="4B5128B8">
      <w:pPr>
        <w:jc w:val="center"/>
        <w:rPr>
          <w:rFonts w:cs="宋体" w:asciiTheme="majorEastAsia" w:hAnsiTheme="majorEastAsia" w:eastAsiaTheme="majorEastAsia"/>
          <w:b/>
          <w:sz w:val="36"/>
          <w:szCs w:val="36"/>
        </w:rPr>
      </w:pPr>
    </w:p>
    <w:p w14:paraId="424789BD">
      <w:pPr>
        <w:jc w:val="center"/>
        <w:rPr>
          <w:rFonts w:cs="宋体" w:asciiTheme="majorEastAsia" w:hAnsiTheme="majorEastAsia" w:eastAsiaTheme="majorEastAsia"/>
          <w:b/>
          <w:sz w:val="36"/>
          <w:szCs w:val="36"/>
        </w:rPr>
      </w:pPr>
    </w:p>
    <w:p w14:paraId="7F789D66">
      <w:pPr>
        <w:jc w:val="center"/>
        <w:rPr>
          <w:rFonts w:cs="宋体" w:asciiTheme="majorEastAsia" w:hAnsiTheme="majorEastAsia" w:eastAsiaTheme="majorEastAsia"/>
          <w:b/>
          <w:sz w:val="36"/>
          <w:szCs w:val="36"/>
        </w:rPr>
      </w:pPr>
    </w:p>
    <w:p w14:paraId="28CEF490">
      <w:pPr>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6"/>
          <w:szCs w:val="36"/>
        </w:rPr>
        <w:t>目   录</w:t>
      </w:r>
    </w:p>
    <w:p w14:paraId="31BA7294">
      <w:pPr>
        <w:pStyle w:val="17"/>
        <w:spacing w:line="480" w:lineRule="auto"/>
        <w:rPr>
          <w:rFonts w:asciiTheme="majorEastAsia" w:hAnsiTheme="majorEastAsia" w:eastAsiaTheme="majorEastAsia" w:cstheme="minorBidi"/>
          <w:b/>
          <w:sz w:val="28"/>
          <w:szCs w:val="28"/>
        </w:rPr>
      </w:pPr>
      <w:r>
        <w:rPr>
          <w:rFonts w:hint="eastAsia" w:cs="宋体" w:asciiTheme="majorEastAsia" w:hAnsiTheme="majorEastAsia" w:eastAsiaTheme="majorEastAsia"/>
          <w:sz w:val="28"/>
          <w:szCs w:val="28"/>
        </w:rPr>
        <w:fldChar w:fldCharType="begin"/>
      </w:r>
      <w:r>
        <w:rPr>
          <w:rFonts w:hint="eastAsia" w:cs="宋体" w:asciiTheme="majorEastAsia" w:hAnsiTheme="majorEastAsia" w:eastAsiaTheme="majorEastAsia"/>
          <w:sz w:val="28"/>
          <w:szCs w:val="28"/>
        </w:rPr>
        <w:instrText xml:space="preserve"> TOC \o "1-3" \h \z \u </w:instrText>
      </w:r>
      <w:r>
        <w:rPr>
          <w:rFonts w:hint="eastAsia" w:cs="宋体" w:asciiTheme="majorEastAsia" w:hAnsiTheme="majorEastAsia" w:eastAsiaTheme="majorEastAsia"/>
          <w:sz w:val="28"/>
          <w:szCs w:val="28"/>
        </w:rPr>
        <w:fldChar w:fldCharType="separate"/>
      </w:r>
      <w:r>
        <w:fldChar w:fldCharType="begin"/>
      </w:r>
      <w:r>
        <w:instrText xml:space="preserve"> HYPERLINK \l "_Toc522523975" </w:instrText>
      </w:r>
      <w:r>
        <w:fldChar w:fldCharType="separate"/>
      </w:r>
      <w:r>
        <w:rPr>
          <w:rStyle w:val="29"/>
          <w:rFonts w:hint="eastAsia" w:cs="宋体" w:asciiTheme="majorEastAsia" w:hAnsiTheme="majorEastAsia" w:eastAsiaTheme="majorEastAsia"/>
          <w:b/>
          <w:bCs/>
          <w:color w:val="auto"/>
          <w:sz w:val="28"/>
          <w:szCs w:val="28"/>
        </w:rPr>
        <w:t>第一章</w:t>
      </w:r>
      <w:r>
        <w:rPr>
          <w:rStyle w:val="29"/>
          <w:rFonts w:cs="宋体" w:asciiTheme="majorEastAsia" w:hAnsiTheme="majorEastAsia" w:eastAsiaTheme="majorEastAsia"/>
          <w:b/>
          <w:bCs/>
          <w:color w:val="auto"/>
          <w:sz w:val="28"/>
          <w:szCs w:val="28"/>
        </w:rPr>
        <w:t xml:space="preserve">   </w:t>
      </w:r>
      <w:r>
        <w:rPr>
          <w:rStyle w:val="29"/>
          <w:rFonts w:hint="eastAsia" w:cs="宋体" w:asciiTheme="majorEastAsia" w:hAnsiTheme="majorEastAsia" w:eastAsiaTheme="majorEastAsia"/>
          <w:b/>
          <w:bCs/>
          <w:color w:val="auto"/>
          <w:sz w:val="28"/>
          <w:szCs w:val="28"/>
        </w:rPr>
        <w:t>竞争性谈判</w:t>
      </w:r>
      <w:r>
        <w:rPr>
          <w:rStyle w:val="29"/>
          <w:rFonts w:hint="eastAsia" w:cs="宋体" w:asciiTheme="majorEastAsia" w:hAnsiTheme="majorEastAsia" w:eastAsiaTheme="majorEastAsia"/>
          <w:b/>
          <w:bCs/>
          <w:color w:val="auto"/>
          <w:sz w:val="28"/>
          <w:szCs w:val="28"/>
          <w:lang w:val="en-US" w:eastAsia="zh-CN"/>
        </w:rPr>
        <w:t>公告</w:t>
      </w:r>
      <w:r>
        <w:rPr>
          <w:rFonts w:asciiTheme="majorEastAsia" w:hAnsiTheme="majorEastAsia" w:eastAsiaTheme="majorEastAsia"/>
          <w:b/>
          <w:sz w:val="28"/>
          <w:szCs w:val="28"/>
        </w:rPr>
        <w:tab/>
      </w:r>
      <w:r>
        <w:rPr>
          <w:rFonts w:hint="eastAsia" w:asciiTheme="majorEastAsia" w:hAnsiTheme="majorEastAsia" w:eastAsiaTheme="majorEastAsia"/>
          <w:b/>
          <w:sz w:val="28"/>
          <w:szCs w:val="28"/>
        </w:rPr>
        <w:t>1</w:t>
      </w:r>
      <w:r>
        <w:rPr>
          <w:rFonts w:hint="eastAsia" w:asciiTheme="majorEastAsia" w:hAnsiTheme="majorEastAsia" w:eastAsiaTheme="majorEastAsia"/>
          <w:b/>
          <w:sz w:val="28"/>
          <w:szCs w:val="28"/>
        </w:rPr>
        <w:fldChar w:fldCharType="end"/>
      </w:r>
    </w:p>
    <w:p w14:paraId="2D216295">
      <w:pPr>
        <w:pStyle w:val="17"/>
        <w:spacing w:line="480" w:lineRule="auto"/>
        <w:rPr>
          <w:rFonts w:asciiTheme="majorEastAsia" w:hAnsiTheme="majorEastAsia" w:eastAsiaTheme="majorEastAsia" w:cstheme="minorBidi"/>
          <w:b/>
          <w:sz w:val="28"/>
          <w:szCs w:val="28"/>
        </w:rPr>
      </w:pPr>
      <w:r>
        <w:fldChar w:fldCharType="begin"/>
      </w:r>
      <w:r>
        <w:instrText xml:space="preserve"> HYPERLINK \l "_Toc522523977" </w:instrText>
      </w:r>
      <w:r>
        <w:fldChar w:fldCharType="separate"/>
      </w:r>
      <w:r>
        <w:rPr>
          <w:rStyle w:val="29"/>
          <w:rFonts w:hint="eastAsia" w:cs="宋体" w:asciiTheme="majorEastAsia" w:hAnsiTheme="majorEastAsia" w:eastAsiaTheme="majorEastAsia"/>
          <w:b/>
          <w:color w:val="auto"/>
          <w:sz w:val="28"/>
          <w:szCs w:val="28"/>
        </w:rPr>
        <w:t>第二章</w:t>
      </w:r>
      <w:r>
        <w:rPr>
          <w:rStyle w:val="29"/>
          <w:rFonts w:cs="宋体" w:asciiTheme="majorEastAsia" w:hAnsiTheme="majorEastAsia" w:eastAsiaTheme="majorEastAsia"/>
          <w:b/>
          <w:color w:val="auto"/>
          <w:sz w:val="28"/>
          <w:szCs w:val="28"/>
        </w:rPr>
        <w:t xml:space="preserve">   </w:t>
      </w:r>
      <w:r>
        <w:rPr>
          <w:rStyle w:val="29"/>
          <w:rFonts w:hint="eastAsia" w:cs="宋体" w:asciiTheme="majorEastAsia" w:hAnsiTheme="majorEastAsia" w:eastAsiaTheme="majorEastAsia"/>
          <w:b/>
          <w:color w:val="auto"/>
          <w:sz w:val="28"/>
          <w:szCs w:val="28"/>
        </w:rPr>
        <w:t>谈判响应人须知</w:t>
      </w:r>
      <w:r>
        <w:rPr>
          <w:rFonts w:asciiTheme="majorEastAsia" w:hAnsiTheme="majorEastAsia" w:eastAsiaTheme="majorEastAsia"/>
          <w:b/>
          <w:sz w:val="28"/>
          <w:szCs w:val="28"/>
        </w:rPr>
        <w:tab/>
      </w:r>
      <w:r>
        <w:rPr>
          <w:rFonts w:hint="eastAsia" w:asciiTheme="majorEastAsia" w:hAnsiTheme="majorEastAsia" w:eastAsiaTheme="majorEastAsia"/>
          <w:b/>
          <w:sz w:val="28"/>
          <w:szCs w:val="28"/>
        </w:rPr>
        <w:t>3</w:t>
      </w:r>
      <w:r>
        <w:rPr>
          <w:rFonts w:hint="eastAsia" w:asciiTheme="majorEastAsia" w:hAnsiTheme="majorEastAsia" w:eastAsiaTheme="majorEastAsia"/>
          <w:b/>
          <w:sz w:val="28"/>
          <w:szCs w:val="28"/>
        </w:rPr>
        <w:fldChar w:fldCharType="end"/>
      </w:r>
    </w:p>
    <w:p w14:paraId="2EC55E79">
      <w:pPr>
        <w:pStyle w:val="17"/>
        <w:spacing w:line="480" w:lineRule="auto"/>
        <w:rPr>
          <w:rFonts w:asciiTheme="majorEastAsia" w:hAnsiTheme="majorEastAsia" w:eastAsiaTheme="majorEastAsia" w:cstheme="minorBidi"/>
          <w:b/>
          <w:sz w:val="28"/>
          <w:szCs w:val="28"/>
        </w:rPr>
      </w:pPr>
      <w:r>
        <w:fldChar w:fldCharType="begin"/>
      </w:r>
      <w:r>
        <w:instrText xml:space="preserve"> HYPERLINK \l "_Toc522523987" </w:instrText>
      </w:r>
      <w:r>
        <w:fldChar w:fldCharType="separate"/>
      </w:r>
      <w:r>
        <w:rPr>
          <w:rStyle w:val="29"/>
          <w:rFonts w:hint="eastAsia" w:cs="宋体" w:asciiTheme="majorEastAsia" w:hAnsiTheme="majorEastAsia" w:eastAsiaTheme="majorEastAsia"/>
          <w:b/>
          <w:color w:val="auto"/>
          <w:sz w:val="28"/>
          <w:szCs w:val="28"/>
        </w:rPr>
        <w:t>第三章</w:t>
      </w:r>
      <w:r>
        <w:rPr>
          <w:rStyle w:val="29"/>
          <w:rFonts w:cs="宋体" w:asciiTheme="majorEastAsia" w:hAnsiTheme="majorEastAsia" w:eastAsiaTheme="majorEastAsia"/>
          <w:b/>
          <w:color w:val="auto"/>
          <w:sz w:val="28"/>
          <w:szCs w:val="28"/>
        </w:rPr>
        <w:t xml:space="preserve"> </w:t>
      </w:r>
      <w:r>
        <w:rPr>
          <w:rStyle w:val="29"/>
          <w:rFonts w:hint="eastAsia" w:cs="宋体" w:asciiTheme="majorEastAsia" w:hAnsiTheme="majorEastAsia" w:eastAsiaTheme="majorEastAsia"/>
          <w:b/>
          <w:color w:val="auto"/>
          <w:sz w:val="28"/>
          <w:szCs w:val="28"/>
        </w:rPr>
        <w:t xml:space="preserve">  服务需求</w:t>
      </w:r>
      <w:r>
        <w:rPr>
          <w:rFonts w:asciiTheme="majorEastAsia" w:hAnsiTheme="majorEastAsia" w:eastAsiaTheme="majorEastAsia"/>
          <w:b/>
          <w:sz w:val="28"/>
          <w:szCs w:val="28"/>
        </w:rPr>
        <w:tab/>
      </w:r>
      <w:r>
        <w:rPr>
          <w:rFonts w:hint="eastAsia" w:asciiTheme="majorEastAsia" w:hAnsiTheme="majorEastAsia" w:eastAsiaTheme="majorEastAsia"/>
          <w:b/>
          <w:sz w:val="28"/>
          <w:szCs w:val="28"/>
        </w:rPr>
        <w:t>1</w:t>
      </w:r>
      <w:r>
        <w:rPr>
          <w:rFonts w:hint="eastAsia" w:asciiTheme="majorEastAsia" w:hAnsiTheme="majorEastAsia" w:eastAsiaTheme="majorEastAsia"/>
          <w:b/>
          <w:sz w:val="28"/>
          <w:szCs w:val="28"/>
        </w:rPr>
        <w:fldChar w:fldCharType="end"/>
      </w:r>
      <w:r>
        <w:rPr>
          <w:rFonts w:hint="eastAsia" w:asciiTheme="majorEastAsia" w:hAnsiTheme="majorEastAsia" w:eastAsiaTheme="majorEastAsia"/>
          <w:b/>
          <w:sz w:val="28"/>
          <w:szCs w:val="28"/>
        </w:rPr>
        <w:t>4</w:t>
      </w:r>
    </w:p>
    <w:p w14:paraId="2D5B9C2B">
      <w:pPr>
        <w:pStyle w:val="17"/>
        <w:spacing w:line="480" w:lineRule="auto"/>
        <w:rPr>
          <w:rFonts w:asciiTheme="majorEastAsia" w:hAnsiTheme="majorEastAsia" w:eastAsiaTheme="majorEastAsia" w:cstheme="minorBidi"/>
          <w:b/>
          <w:sz w:val="28"/>
          <w:szCs w:val="28"/>
        </w:rPr>
      </w:pPr>
      <w:r>
        <w:fldChar w:fldCharType="begin"/>
      </w:r>
      <w:r>
        <w:instrText xml:space="preserve"> HYPERLINK \l "_Toc522523988" </w:instrText>
      </w:r>
      <w:r>
        <w:fldChar w:fldCharType="separate"/>
      </w:r>
      <w:r>
        <w:rPr>
          <w:rStyle w:val="29"/>
          <w:rFonts w:hint="eastAsia" w:cs="宋体" w:asciiTheme="majorEastAsia" w:hAnsiTheme="majorEastAsia" w:eastAsiaTheme="majorEastAsia"/>
          <w:b/>
          <w:color w:val="auto"/>
          <w:sz w:val="28"/>
          <w:szCs w:val="28"/>
        </w:rPr>
        <w:t>第四章</w:t>
      </w:r>
      <w:r>
        <w:rPr>
          <w:rStyle w:val="29"/>
          <w:rFonts w:cs="宋体" w:asciiTheme="majorEastAsia" w:hAnsiTheme="majorEastAsia" w:eastAsiaTheme="majorEastAsia"/>
          <w:b/>
          <w:color w:val="auto"/>
          <w:sz w:val="28"/>
          <w:szCs w:val="28"/>
        </w:rPr>
        <w:t xml:space="preserve">  </w:t>
      </w:r>
      <w:r>
        <w:rPr>
          <w:rStyle w:val="29"/>
          <w:rFonts w:hint="eastAsia" w:cs="宋体" w:asciiTheme="majorEastAsia" w:hAnsiTheme="majorEastAsia" w:eastAsiaTheme="majorEastAsia"/>
          <w:b/>
          <w:color w:val="auto"/>
          <w:sz w:val="28"/>
          <w:szCs w:val="28"/>
        </w:rPr>
        <w:t xml:space="preserve"> 合同主要条款</w:t>
      </w:r>
      <w:r>
        <w:rPr>
          <w:rFonts w:asciiTheme="majorEastAsia" w:hAnsiTheme="majorEastAsia" w:eastAsiaTheme="majorEastAsia"/>
          <w:b/>
          <w:sz w:val="28"/>
          <w:szCs w:val="28"/>
        </w:rPr>
        <w:tab/>
      </w:r>
      <w:r>
        <w:rPr>
          <w:rFonts w:hint="eastAsia" w:asciiTheme="majorEastAsia" w:hAnsiTheme="majorEastAsia" w:eastAsiaTheme="majorEastAsia"/>
          <w:b/>
          <w:sz w:val="28"/>
          <w:szCs w:val="28"/>
        </w:rPr>
        <w:t>1</w:t>
      </w:r>
      <w:r>
        <w:rPr>
          <w:rFonts w:hint="eastAsia" w:asciiTheme="majorEastAsia" w:hAnsiTheme="majorEastAsia" w:eastAsiaTheme="majorEastAsia"/>
          <w:b/>
          <w:sz w:val="28"/>
          <w:szCs w:val="28"/>
        </w:rPr>
        <w:fldChar w:fldCharType="end"/>
      </w:r>
      <w:r>
        <w:rPr>
          <w:rFonts w:hint="eastAsia" w:asciiTheme="majorEastAsia" w:hAnsiTheme="majorEastAsia" w:eastAsiaTheme="majorEastAsia"/>
          <w:b/>
          <w:sz w:val="28"/>
          <w:szCs w:val="28"/>
        </w:rPr>
        <w:t>5</w:t>
      </w:r>
    </w:p>
    <w:p w14:paraId="6B1D5A68">
      <w:pPr>
        <w:pStyle w:val="17"/>
        <w:spacing w:line="480" w:lineRule="auto"/>
        <w:rPr>
          <w:rFonts w:asciiTheme="majorEastAsia" w:hAnsiTheme="majorEastAsia" w:eastAsiaTheme="majorEastAsia" w:cstheme="minorBidi"/>
          <w:b/>
          <w:sz w:val="28"/>
          <w:szCs w:val="28"/>
        </w:rPr>
      </w:pPr>
      <w:r>
        <w:fldChar w:fldCharType="begin"/>
      </w:r>
      <w:r>
        <w:instrText xml:space="preserve"> HYPERLINK \l "_Toc522523989" </w:instrText>
      </w:r>
      <w:r>
        <w:fldChar w:fldCharType="separate"/>
      </w:r>
      <w:r>
        <w:rPr>
          <w:rStyle w:val="29"/>
          <w:rFonts w:hint="eastAsia" w:cs="宋体" w:asciiTheme="majorEastAsia" w:hAnsiTheme="majorEastAsia" w:eastAsiaTheme="majorEastAsia"/>
          <w:b/>
          <w:color w:val="auto"/>
          <w:sz w:val="28"/>
          <w:szCs w:val="28"/>
        </w:rPr>
        <w:t>第五章</w:t>
      </w:r>
      <w:r>
        <w:rPr>
          <w:rStyle w:val="29"/>
          <w:rFonts w:cs="宋体" w:asciiTheme="majorEastAsia" w:hAnsiTheme="majorEastAsia" w:eastAsiaTheme="majorEastAsia"/>
          <w:b/>
          <w:color w:val="auto"/>
          <w:sz w:val="28"/>
          <w:szCs w:val="28"/>
        </w:rPr>
        <w:t xml:space="preserve">   </w:t>
      </w:r>
      <w:r>
        <w:rPr>
          <w:rStyle w:val="29"/>
          <w:rFonts w:hint="eastAsia" w:cs="宋体" w:asciiTheme="majorEastAsia" w:hAnsiTheme="majorEastAsia" w:eastAsiaTheme="majorEastAsia"/>
          <w:b/>
          <w:color w:val="auto"/>
          <w:sz w:val="28"/>
          <w:szCs w:val="28"/>
        </w:rPr>
        <w:t>谈判响应文件格式</w:t>
      </w:r>
      <w:r>
        <w:rPr>
          <w:rFonts w:asciiTheme="majorEastAsia" w:hAnsiTheme="majorEastAsia" w:eastAsiaTheme="majorEastAsia"/>
          <w:b/>
          <w:sz w:val="28"/>
          <w:szCs w:val="28"/>
        </w:rPr>
        <w:tab/>
      </w:r>
      <w:r>
        <w:rPr>
          <w:rFonts w:hint="eastAsia" w:asciiTheme="majorEastAsia" w:hAnsiTheme="majorEastAsia" w:eastAsiaTheme="majorEastAsia"/>
          <w:b/>
          <w:sz w:val="28"/>
          <w:szCs w:val="28"/>
        </w:rPr>
        <w:t>1</w:t>
      </w:r>
      <w:r>
        <w:rPr>
          <w:rFonts w:hint="eastAsia" w:asciiTheme="majorEastAsia" w:hAnsiTheme="majorEastAsia" w:eastAsiaTheme="majorEastAsia"/>
          <w:b/>
          <w:sz w:val="28"/>
          <w:szCs w:val="28"/>
        </w:rPr>
        <w:fldChar w:fldCharType="end"/>
      </w:r>
      <w:r>
        <w:rPr>
          <w:rFonts w:hint="eastAsia" w:asciiTheme="majorEastAsia" w:hAnsiTheme="majorEastAsia" w:eastAsiaTheme="majorEastAsia"/>
          <w:b/>
          <w:sz w:val="28"/>
          <w:szCs w:val="28"/>
        </w:rPr>
        <w:t>7</w:t>
      </w:r>
    </w:p>
    <w:p w14:paraId="19A95B6E">
      <w:pPr>
        <w:pStyle w:val="10"/>
        <w:tabs>
          <w:tab w:val="right" w:leader="dot" w:pos="9060"/>
        </w:tabs>
        <w:spacing w:line="480" w:lineRule="auto"/>
        <w:ind w:left="0" w:leftChars="0"/>
        <w:jc w:val="center"/>
        <w:outlineLvl w:val="0"/>
        <w:rPr>
          <w:rFonts w:cs="宋体" w:asciiTheme="majorEastAsia" w:hAnsiTheme="majorEastAsia" w:eastAsiaTheme="majorEastAsia"/>
          <w:sz w:val="28"/>
          <w:szCs w:val="28"/>
        </w:rPr>
        <w:sectPr>
          <w:headerReference r:id="rId3" w:type="default"/>
          <w:pgSz w:w="11906" w:h="16838"/>
          <w:pgMar w:top="1417" w:right="1418" w:bottom="1417" w:left="1418" w:header="680" w:footer="680" w:gutter="0"/>
          <w:pgNumType w:start="1"/>
          <w:cols w:space="720" w:num="1"/>
          <w:docGrid w:type="lines" w:linePitch="312" w:charSpace="0"/>
        </w:sectPr>
      </w:pPr>
      <w:r>
        <w:rPr>
          <w:rFonts w:hint="eastAsia" w:cs="宋体" w:asciiTheme="majorEastAsia" w:hAnsiTheme="majorEastAsia" w:eastAsiaTheme="majorEastAsia"/>
          <w:sz w:val="28"/>
          <w:szCs w:val="28"/>
        </w:rPr>
        <w:fldChar w:fldCharType="end"/>
      </w:r>
    </w:p>
    <w:p w14:paraId="2972C498">
      <w:pPr>
        <w:pStyle w:val="2"/>
        <w:rPr>
          <w:rStyle w:val="35"/>
          <w:rFonts w:hint="eastAsia" w:cs="宋体" w:asciiTheme="majorEastAsia" w:hAnsiTheme="majorEastAsia" w:eastAsiaTheme="majorEastAsia"/>
          <w:b/>
          <w:bCs/>
          <w:sz w:val="30"/>
          <w:szCs w:val="30"/>
        </w:rPr>
      </w:pPr>
      <w:bookmarkStart w:id="2" w:name="_Toc522523975"/>
      <w:r>
        <w:rPr>
          <w:rStyle w:val="35"/>
          <w:rFonts w:hint="eastAsia" w:cs="宋体" w:asciiTheme="majorEastAsia" w:hAnsiTheme="majorEastAsia" w:eastAsiaTheme="majorEastAsia"/>
          <w:b/>
          <w:bCs/>
          <w:sz w:val="30"/>
          <w:szCs w:val="30"/>
        </w:rPr>
        <w:t xml:space="preserve">第一章   </w:t>
      </w:r>
      <w:bookmarkEnd w:id="2"/>
      <w:bookmarkStart w:id="3" w:name="_Toc522523977"/>
      <w:bookmarkStart w:id="4" w:name="_Toc5725"/>
      <w:r>
        <w:rPr>
          <w:rStyle w:val="35"/>
          <w:rFonts w:hint="eastAsia" w:cs="宋体" w:asciiTheme="majorEastAsia" w:hAnsiTheme="majorEastAsia" w:eastAsiaTheme="majorEastAsia"/>
          <w:b/>
          <w:bCs/>
          <w:sz w:val="30"/>
          <w:szCs w:val="30"/>
        </w:rPr>
        <w:t>安庆市中医医院年度财务收支等审计服务供应商</w:t>
      </w:r>
    </w:p>
    <w:p w14:paraId="431272E6">
      <w:pPr>
        <w:pStyle w:val="2"/>
        <w:ind w:firstLine="2711" w:firstLineChars="900"/>
        <w:rPr>
          <w:rStyle w:val="35"/>
          <w:rFonts w:hint="eastAsia" w:cs="宋体" w:asciiTheme="majorEastAsia" w:hAnsiTheme="majorEastAsia" w:eastAsiaTheme="majorEastAsia"/>
          <w:b/>
          <w:bCs/>
          <w:sz w:val="30"/>
          <w:szCs w:val="30"/>
        </w:rPr>
      </w:pPr>
      <w:r>
        <w:rPr>
          <w:rStyle w:val="35"/>
          <w:rFonts w:hint="eastAsia" w:cs="宋体" w:asciiTheme="majorEastAsia" w:hAnsiTheme="majorEastAsia" w:eastAsiaTheme="majorEastAsia"/>
          <w:b/>
          <w:bCs/>
          <w:sz w:val="30"/>
          <w:szCs w:val="30"/>
        </w:rPr>
        <w:t>采购项目竞争性谈判公告</w:t>
      </w:r>
    </w:p>
    <w:p w14:paraId="61DA1535">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项目概况:</w:t>
      </w:r>
    </w:p>
    <w:p w14:paraId="7720B854">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安庆市中医医院年度财务收支等审计服务供应商采购项目的潜在供应商应在安庆市中医医院官网获取竞争性谈判文件，并于2024年9月18日下午14时30分（北京时间）前提交竞争性谈判响应文件。</w:t>
      </w:r>
    </w:p>
    <w:p w14:paraId="7E319160">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bCs/>
          <w:sz w:val="24"/>
          <w:szCs w:val="24"/>
        </w:rPr>
        <w:t>一、项目基本情况</w:t>
      </w:r>
    </w:p>
    <w:p w14:paraId="4DEEDA30">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项目名称：安庆市中医医院年度财务收支等审计服务供应商采购项目</w:t>
      </w:r>
    </w:p>
    <w:p w14:paraId="7CCC68B8">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采购方式：√竞争性谈判  □竞争性磋商  □询价</w:t>
      </w:r>
    </w:p>
    <w:p w14:paraId="401A9CFD">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预算金额：9800元/年</w:t>
      </w:r>
    </w:p>
    <w:p w14:paraId="11527DCC">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最高限价：9800元/年</w:t>
      </w:r>
    </w:p>
    <w:p w14:paraId="7505A48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采购需求：对安庆市中医医院2021-2023年度财务状况和经费收支、财经法律法规执行以及内部控制的规范执行等事项进行审计，发表意见，并出具审计报告。</w:t>
      </w:r>
    </w:p>
    <w:p w14:paraId="5D2650D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二、申请人的资格要求：</w:t>
      </w:r>
    </w:p>
    <w:p w14:paraId="09D5FD47">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1.符合《中华人民共和国政府采购法》第二十二条规定；</w:t>
      </w:r>
    </w:p>
    <w:p w14:paraId="3C9E7E2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2.供应商为具有有效的营业执照，且具备财政部门颁发的会计师事务所执业证书；</w:t>
      </w:r>
    </w:p>
    <w:p w14:paraId="6F815B06">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3.拟派项目负责人须具备注册会计师执业资格；</w:t>
      </w:r>
    </w:p>
    <w:p w14:paraId="49682EFD">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4.本项目不接受联合体报名。</w:t>
      </w:r>
    </w:p>
    <w:p w14:paraId="45EAA70C">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三、获取竞争性谈判文件</w:t>
      </w:r>
    </w:p>
    <w:p w14:paraId="621C0151">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时间：2024年9月11日至2024年9月14日</w:t>
      </w:r>
    </w:p>
    <w:p w14:paraId="48268113">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地点：安庆市中医医院官网</w:t>
      </w:r>
      <w:r>
        <w:rPr>
          <w:rStyle w:val="35"/>
          <w:rFonts w:hint="eastAsia" w:cs="宋体" w:asciiTheme="majorEastAsia" w:hAnsiTheme="majorEastAsia" w:eastAsiaTheme="majorEastAsia"/>
          <w:b w:val="0"/>
          <w:bCs w:val="0"/>
          <w:sz w:val="21"/>
          <w:szCs w:val="21"/>
          <w:lang w:val="en-US" w:eastAsia="zh-CN"/>
        </w:rPr>
        <w:t>该项目公告附件</w:t>
      </w:r>
      <w:r>
        <w:rPr>
          <w:rStyle w:val="35"/>
          <w:rFonts w:hint="eastAsia" w:cs="宋体" w:asciiTheme="majorEastAsia" w:hAnsiTheme="majorEastAsia" w:eastAsiaTheme="majorEastAsia"/>
          <w:b w:val="0"/>
          <w:bCs w:val="0"/>
          <w:sz w:val="21"/>
          <w:szCs w:val="21"/>
        </w:rPr>
        <w:t>，潜在供应商自行下载。</w:t>
      </w:r>
    </w:p>
    <w:p w14:paraId="6C78330C">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四、响应文件提交</w:t>
      </w:r>
    </w:p>
    <w:p w14:paraId="67D62B57">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截止时间：2024年9月18日下午14时30分（北京时间）</w:t>
      </w:r>
    </w:p>
    <w:p w14:paraId="5FFE00B0">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地点：安庆市中医医院北院区财务科</w:t>
      </w:r>
    </w:p>
    <w:p w14:paraId="72FD7531">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五、谈判</w:t>
      </w:r>
    </w:p>
    <w:p w14:paraId="1F6CFD6B">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时间：22024年9月18日下午14时30分（北京时间）</w:t>
      </w:r>
    </w:p>
    <w:p w14:paraId="71792B46">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地点：安庆市中医医院北院区</w:t>
      </w:r>
    </w:p>
    <w:p w14:paraId="4098E68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bCs/>
          <w:sz w:val="24"/>
          <w:szCs w:val="24"/>
        </w:rPr>
        <w:t>六、公告期限</w:t>
      </w:r>
    </w:p>
    <w:p w14:paraId="555692EE">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自本公告发布之日起3个工作日。</w:t>
      </w:r>
    </w:p>
    <w:p w14:paraId="62D0CEAB">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七、其他补充事宜</w:t>
      </w:r>
    </w:p>
    <w:p w14:paraId="2BC3C6EE">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有医院审计工作经验的潜在供应商优先。</w:t>
      </w:r>
    </w:p>
    <w:p w14:paraId="0E62D77D">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bCs/>
          <w:sz w:val="24"/>
          <w:szCs w:val="24"/>
        </w:rPr>
      </w:pPr>
      <w:r>
        <w:rPr>
          <w:rStyle w:val="35"/>
          <w:rFonts w:hint="eastAsia" w:cs="宋体" w:asciiTheme="majorEastAsia" w:hAnsiTheme="majorEastAsia" w:eastAsiaTheme="majorEastAsia"/>
          <w:b/>
          <w:bCs/>
          <w:sz w:val="24"/>
          <w:szCs w:val="24"/>
        </w:rPr>
        <w:t>八、凡对本次采购提出询问，请按以下方式联系：</w:t>
      </w:r>
    </w:p>
    <w:p w14:paraId="00C51D55">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名称：安庆市中医医院</w:t>
      </w:r>
    </w:p>
    <w:p w14:paraId="330C3257">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地址：安庆市集贤北路1588号</w:t>
      </w:r>
    </w:p>
    <w:p w14:paraId="783EF1B1">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联 系 人：</w:t>
      </w:r>
    </w:p>
    <w:p w14:paraId="5B7B473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 xml:space="preserve">王先生    电  话：0556-  5177968或13515560156    </w:t>
      </w:r>
    </w:p>
    <w:p w14:paraId="66ECACE4">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r>
        <w:rPr>
          <w:rStyle w:val="35"/>
          <w:rFonts w:hint="eastAsia" w:cs="宋体" w:asciiTheme="majorEastAsia" w:hAnsiTheme="majorEastAsia" w:eastAsiaTheme="majorEastAsia"/>
          <w:b w:val="0"/>
          <w:bCs w:val="0"/>
          <w:sz w:val="21"/>
          <w:szCs w:val="21"/>
        </w:rPr>
        <w:t>徐先生    电  话：0556- 5177968或13309669906</w:t>
      </w:r>
    </w:p>
    <w:p w14:paraId="3ED32AEB">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p>
    <w:p w14:paraId="5B51B99A">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p>
    <w:p w14:paraId="123D0953">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p>
    <w:p w14:paraId="5A7EA1D3">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p>
    <w:p w14:paraId="2D3CABAF">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rStyle w:val="35"/>
          <w:rFonts w:hint="eastAsia" w:cs="宋体" w:asciiTheme="majorEastAsia" w:hAnsiTheme="majorEastAsia" w:eastAsiaTheme="majorEastAsia"/>
          <w:b w:val="0"/>
          <w:bCs w:val="0"/>
          <w:sz w:val="21"/>
          <w:szCs w:val="21"/>
        </w:rPr>
      </w:pPr>
    </w:p>
    <w:p w14:paraId="054A2C23">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420"/>
        <w:jc w:val="both"/>
        <w:textAlignment w:val="auto"/>
        <w:rPr>
          <w:b w:val="0"/>
          <w:bCs w:val="0"/>
          <w:sz w:val="21"/>
          <w:szCs w:val="21"/>
        </w:rPr>
      </w:pPr>
    </w:p>
    <w:p w14:paraId="2B204B2F">
      <w:pPr>
        <w:rPr>
          <w:b w:val="0"/>
          <w:bCs w:val="0"/>
          <w:sz w:val="21"/>
          <w:szCs w:val="21"/>
        </w:rPr>
      </w:pPr>
    </w:p>
    <w:p w14:paraId="263E3914">
      <w:pPr>
        <w:pStyle w:val="2"/>
        <w:rPr>
          <w:b w:val="0"/>
          <w:bCs w:val="0"/>
          <w:sz w:val="21"/>
          <w:szCs w:val="21"/>
        </w:rPr>
      </w:pPr>
    </w:p>
    <w:p w14:paraId="090A4582">
      <w:pPr>
        <w:rPr>
          <w:b w:val="0"/>
          <w:bCs w:val="0"/>
          <w:sz w:val="21"/>
          <w:szCs w:val="21"/>
        </w:rPr>
      </w:pPr>
    </w:p>
    <w:p w14:paraId="6051830D">
      <w:pPr>
        <w:pStyle w:val="2"/>
        <w:rPr>
          <w:b w:val="0"/>
          <w:bCs w:val="0"/>
          <w:sz w:val="21"/>
          <w:szCs w:val="21"/>
        </w:rPr>
      </w:pPr>
    </w:p>
    <w:p w14:paraId="1F1AAA30">
      <w:pPr>
        <w:rPr>
          <w:b w:val="0"/>
          <w:bCs w:val="0"/>
          <w:sz w:val="21"/>
          <w:szCs w:val="21"/>
        </w:rPr>
      </w:pPr>
    </w:p>
    <w:p w14:paraId="7F487160">
      <w:pPr>
        <w:pStyle w:val="2"/>
        <w:rPr>
          <w:b w:val="0"/>
          <w:bCs w:val="0"/>
          <w:sz w:val="21"/>
          <w:szCs w:val="21"/>
        </w:rPr>
      </w:pPr>
    </w:p>
    <w:p w14:paraId="4C9CD945">
      <w:pPr>
        <w:rPr>
          <w:b w:val="0"/>
          <w:bCs w:val="0"/>
          <w:sz w:val="21"/>
          <w:szCs w:val="21"/>
        </w:rPr>
      </w:pPr>
    </w:p>
    <w:p w14:paraId="580DA844">
      <w:pPr>
        <w:pStyle w:val="2"/>
        <w:rPr>
          <w:b w:val="0"/>
          <w:bCs w:val="0"/>
          <w:sz w:val="21"/>
          <w:szCs w:val="21"/>
        </w:rPr>
      </w:pPr>
    </w:p>
    <w:p w14:paraId="4CDD8F94"/>
    <w:p w14:paraId="42A28AD3">
      <w:pPr>
        <w:pStyle w:val="2"/>
      </w:pPr>
    </w:p>
    <w:p w14:paraId="6FE70203"/>
    <w:p w14:paraId="1504B434">
      <w:pPr>
        <w:pStyle w:val="2"/>
      </w:pPr>
    </w:p>
    <w:p w14:paraId="1ADC4D69"/>
    <w:p w14:paraId="57B21B9A">
      <w:pPr>
        <w:pStyle w:val="2"/>
      </w:pPr>
    </w:p>
    <w:p w14:paraId="0815CCA4"/>
    <w:p w14:paraId="1D4BFFC4">
      <w:pPr>
        <w:pStyle w:val="2"/>
      </w:pPr>
    </w:p>
    <w:p w14:paraId="73D2554F"/>
    <w:p w14:paraId="0618D51E">
      <w:pPr>
        <w:pStyle w:val="2"/>
      </w:pPr>
    </w:p>
    <w:p w14:paraId="25584AAC"/>
    <w:p w14:paraId="418A58FA">
      <w:pPr>
        <w:pStyle w:val="2"/>
      </w:pPr>
    </w:p>
    <w:p w14:paraId="140CAC4B"/>
    <w:p w14:paraId="1F123594">
      <w:pPr>
        <w:pStyle w:val="2"/>
      </w:pPr>
    </w:p>
    <w:p w14:paraId="32EBBBD3"/>
    <w:p w14:paraId="18027FA8">
      <w:pPr>
        <w:spacing w:line="360" w:lineRule="auto"/>
        <w:jc w:val="center"/>
        <w:rPr>
          <w:rStyle w:val="35"/>
          <w:rFonts w:cs="宋体" w:asciiTheme="majorEastAsia" w:hAnsiTheme="majorEastAsia" w:eastAsiaTheme="majorEastAsia"/>
          <w:b/>
          <w:bCs/>
          <w:kern w:val="0"/>
          <w:sz w:val="28"/>
          <w:szCs w:val="28"/>
        </w:rPr>
      </w:pPr>
      <w:r>
        <w:rPr>
          <w:rStyle w:val="35"/>
          <w:rFonts w:hint="eastAsia"/>
          <w:b/>
          <w:bCs/>
          <w:kern w:val="0"/>
          <w:sz w:val="28"/>
          <w:szCs w:val="28"/>
        </w:rPr>
        <w:t>第二章   谈判响应人须知</w:t>
      </w:r>
      <w:bookmarkEnd w:id="3"/>
      <w:bookmarkEnd w:id="4"/>
    </w:p>
    <w:p w14:paraId="02D770C9">
      <w:pPr>
        <w:pStyle w:val="46"/>
        <w:rPr>
          <w:rFonts w:asciiTheme="majorEastAsia" w:hAnsiTheme="majorEastAsia" w:eastAsiaTheme="majorEastAsia"/>
          <w:sz w:val="28"/>
          <w:szCs w:val="28"/>
        </w:rPr>
      </w:pPr>
      <w:bookmarkStart w:id="5" w:name="_Toc27607"/>
      <w:bookmarkStart w:id="6" w:name="_Toc522523978"/>
      <w:r>
        <w:rPr>
          <w:rFonts w:hint="eastAsia" w:asciiTheme="majorEastAsia" w:hAnsiTheme="majorEastAsia" w:eastAsiaTheme="majorEastAsia"/>
          <w:sz w:val="28"/>
          <w:szCs w:val="28"/>
        </w:rPr>
        <w:t>第一节  谈判响应人须知前附表</w:t>
      </w:r>
      <w:bookmarkEnd w:id="5"/>
      <w:bookmarkEnd w:id="6"/>
    </w:p>
    <w:tbl>
      <w:tblPr>
        <w:tblStyle w:val="23"/>
        <w:tblpPr w:leftFromText="180" w:rightFromText="180" w:vertAnchor="text" w:horzAnchor="page" w:tblpX="1215" w:tblpY="261"/>
        <w:tblOverlap w:val="never"/>
        <w:tblW w:w="99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1843"/>
        <w:gridCol w:w="7548"/>
      </w:tblGrid>
      <w:tr w14:paraId="78395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68" w:type="dxa"/>
            <w:tcBorders>
              <w:top w:val="single" w:color="auto" w:sz="4" w:space="0"/>
              <w:left w:val="single" w:color="auto" w:sz="4" w:space="0"/>
              <w:bottom w:val="single" w:color="auto" w:sz="4" w:space="0"/>
              <w:right w:val="single" w:color="auto" w:sz="4" w:space="0"/>
            </w:tcBorders>
            <w:vAlign w:val="center"/>
          </w:tcPr>
          <w:p w14:paraId="71E0860A">
            <w:pPr>
              <w:spacing w:line="420" w:lineRule="exact"/>
              <w:ind w:right="-358"/>
              <w:rPr>
                <w:rFonts w:cs="宋体" w:asciiTheme="majorEastAsia" w:hAnsiTheme="majorEastAsia" w:eastAsiaTheme="majorEastAsia"/>
                <w:szCs w:val="21"/>
              </w:rPr>
            </w:pPr>
            <w:r>
              <w:rPr>
                <w:rFonts w:hint="eastAsia" w:cs="宋体" w:asciiTheme="majorEastAsia" w:hAnsiTheme="majorEastAsia" w:eastAsiaTheme="majorEastAsia"/>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17712D4A">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内容</w:t>
            </w:r>
          </w:p>
        </w:tc>
        <w:tc>
          <w:tcPr>
            <w:tcW w:w="7548" w:type="dxa"/>
            <w:tcBorders>
              <w:top w:val="single" w:color="auto" w:sz="4" w:space="0"/>
              <w:left w:val="single" w:color="auto" w:sz="4" w:space="0"/>
              <w:bottom w:val="single" w:color="auto" w:sz="4" w:space="0"/>
              <w:right w:val="single" w:color="auto" w:sz="4" w:space="0"/>
            </w:tcBorders>
            <w:vAlign w:val="center"/>
          </w:tcPr>
          <w:p w14:paraId="4B9657C3">
            <w:pPr>
              <w:tabs>
                <w:tab w:val="left" w:pos="1180"/>
              </w:tabs>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说明与要求</w:t>
            </w:r>
          </w:p>
        </w:tc>
      </w:tr>
      <w:tr w14:paraId="6230C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568" w:type="dxa"/>
            <w:tcBorders>
              <w:top w:val="single" w:color="auto" w:sz="4" w:space="0"/>
              <w:left w:val="single" w:color="auto" w:sz="4" w:space="0"/>
              <w:bottom w:val="single" w:color="auto" w:sz="4" w:space="0"/>
              <w:right w:val="single" w:color="auto" w:sz="4" w:space="0"/>
            </w:tcBorders>
            <w:vAlign w:val="center"/>
          </w:tcPr>
          <w:p w14:paraId="0D8558D7">
            <w:pPr>
              <w:spacing w:line="420" w:lineRule="exact"/>
              <w:jc w:val="center"/>
              <w:rPr>
                <w:rFonts w:cs="宋体" w:asciiTheme="majorEastAsia" w:hAnsiTheme="majorEastAsia" w:eastAsiaTheme="majorEastAsia"/>
                <w:szCs w:val="21"/>
              </w:rPr>
            </w:pPr>
            <w:bookmarkStart w:id="7" w:name="_Hlk176812790"/>
            <w:r>
              <w:rPr>
                <w:rFonts w:hint="eastAsia" w:cs="宋体" w:asciiTheme="majorEastAsia" w:hAnsiTheme="majorEastAsia" w:eastAsiaTheme="majorEastAsia"/>
                <w:szCs w:val="21"/>
              </w:rPr>
              <w:t>1</w:t>
            </w:r>
          </w:p>
        </w:tc>
        <w:tc>
          <w:tcPr>
            <w:tcW w:w="1843" w:type="dxa"/>
            <w:tcBorders>
              <w:top w:val="single" w:color="auto" w:sz="4" w:space="0"/>
              <w:left w:val="single" w:color="auto" w:sz="4" w:space="0"/>
              <w:bottom w:val="single" w:color="auto" w:sz="4" w:space="0"/>
              <w:right w:val="single" w:color="auto" w:sz="4" w:space="0"/>
            </w:tcBorders>
            <w:vAlign w:val="center"/>
          </w:tcPr>
          <w:p w14:paraId="571F1049">
            <w:pPr>
              <w:rPr>
                <w:rFonts w:cs="宋体" w:asciiTheme="majorEastAsia" w:hAnsiTheme="majorEastAsia" w:eastAsiaTheme="majorEastAsia"/>
                <w:szCs w:val="21"/>
              </w:rPr>
            </w:pPr>
            <w:r>
              <w:rPr>
                <w:rFonts w:hint="eastAsia" w:cs="宋体" w:asciiTheme="majorEastAsia" w:hAnsiTheme="majorEastAsia" w:eastAsiaTheme="majorEastAsia"/>
                <w:szCs w:val="21"/>
              </w:rPr>
              <w:t>项目名称</w:t>
            </w:r>
          </w:p>
        </w:tc>
        <w:tc>
          <w:tcPr>
            <w:tcW w:w="7548" w:type="dxa"/>
            <w:tcBorders>
              <w:top w:val="single" w:color="auto" w:sz="4" w:space="0"/>
              <w:left w:val="single" w:color="auto" w:sz="4" w:space="0"/>
              <w:bottom w:val="single" w:color="auto" w:sz="4" w:space="0"/>
              <w:right w:val="single" w:color="auto" w:sz="4" w:space="0"/>
            </w:tcBorders>
            <w:vAlign w:val="center"/>
          </w:tcPr>
          <w:p w14:paraId="5860A37F">
            <w:pPr>
              <w:spacing w:line="360" w:lineRule="auto"/>
              <w:rPr>
                <w:rFonts w:cs="宋体" w:asciiTheme="majorEastAsia" w:hAnsiTheme="majorEastAsia" w:eastAsiaTheme="majorEastAsia"/>
                <w:szCs w:val="21"/>
              </w:rPr>
            </w:pPr>
            <w:r>
              <w:rPr>
                <w:rFonts w:hint="eastAsia" w:ascii="宋体" w:hAnsi="宋体" w:eastAsiaTheme="majorEastAsia"/>
              </w:rPr>
              <w:t>安庆市中医医院2021-2023年度财务收支等审计服务供应商采购项目</w:t>
            </w:r>
          </w:p>
        </w:tc>
      </w:tr>
      <w:bookmarkEnd w:id="7"/>
      <w:tr w14:paraId="2664B0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568" w:type="dxa"/>
            <w:tcBorders>
              <w:top w:val="single" w:color="auto" w:sz="4" w:space="0"/>
              <w:left w:val="single" w:color="auto" w:sz="4" w:space="0"/>
              <w:bottom w:val="single" w:color="auto" w:sz="4" w:space="0"/>
              <w:right w:val="single" w:color="auto" w:sz="4" w:space="0"/>
            </w:tcBorders>
            <w:vAlign w:val="center"/>
          </w:tcPr>
          <w:p w14:paraId="15C1216A">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2</w:t>
            </w:r>
          </w:p>
        </w:tc>
        <w:tc>
          <w:tcPr>
            <w:tcW w:w="1843" w:type="dxa"/>
            <w:tcBorders>
              <w:top w:val="single" w:color="auto" w:sz="4" w:space="0"/>
              <w:left w:val="single" w:color="auto" w:sz="4" w:space="0"/>
              <w:bottom w:val="single" w:color="auto" w:sz="4" w:space="0"/>
              <w:right w:val="single" w:color="auto" w:sz="4" w:space="0"/>
            </w:tcBorders>
            <w:vAlign w:val="center"/>
          </w:tcPr>
          <w:p w14:paraId="5DF89D08">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采购人</w:t>
            </w:r>
          </w:p>
        </w:tc>
        <w:tc>
          <w:tcPr>
            <w:tcW w:w="7548" w:type="dxa"/>
            <w:tcBorders>
              <w:top w:val="single" w:color="auto" w:sz="4" w:space="0"/>
              <w:left w:val="single" w:color="auto" w:sz="4" w:space="0"/>
              <w:bottom w:val="single" w:color="auto" w:sz="4" w:space="0"/>
              <w:right w:val="single" w:color="auto" w:sz="4" w:space="0"/>
            </w:tcBorders>
            <w:vAlign w:val="center"/>
          </w:tcPr>
          <w:p w14:paraId="7DFBE5F9">
            <w:pPr>
              <w:widowControl/>
              <w:shd w:val="clear" w:color="auto" w:fill="FFFFFF"/>
            </w:pPr>
            <w:r>
              <w:rPr>
                <w:rFonts w:hint="eastAsia" w:ascii="宋体" w:hAnsi="宋体" w:eastAsiaTheme="majorEastAsia"/>
              </w:rPr>
              <w:t>安庆市中医医院</w:t>
            </w:r>
          </w:p>
        </w:tc>
      </w:tr>
      <w:tr w14:paraId="56B00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8" w:type="dxa"/>
            <w:tcBorders>
              <w:top w:val="single" w:color="auto" w:sz="4" w:space="0"/>
              <w:left w:val="single" w:color="auto" w:sz="4" w:space="0"/>
              <w:bottom w:val="single" w:color="auto" w:sz="4" w:space="0"/>
              <w:right w:val="single" w:color="auto" w:sz="4" w:space="0"/>
            </w:tcBorders>
            <w:vAlign w:val="center"/>
          </w:tcPr>
          <w:p w14:paraId="41BD60F2">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4</w:t>
            </w:r>
          </w:p>
        </w:tc>
        <w:tc>
          <w:tcPr>
            <w:tcW w:w="1843" w:type="dxa"/>
            <w:tcBorders>
              <w:top w:val="single" w:color="auto" w:sz="4" w:space="0"/>
              <w:left w:val="single" w:color="auto" w:sz="4" w:space="0"/>
              <w:bottom w:val="single" w:color="auto" w:sz="4" w:space="0"/>
              <w:right w:val="single" w:color="auto" w:sz="4" w:space="0"/>
            </w:tcBorders>
            <w:vAlign w:val="center"/>
          </w:tcPr>
          <w:p w14:paraId="195BCF2C">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采购方式</w:t>
            </w:r>
          </w:p>
        </w:tc>
        <w:tc>
          <w:tcPr>
            <w:tcW w:w="7548" w:type="dxa"/>
            <w:tcBorders>
              <w:top w:val="single" w:color="auto" w:sz="4" w:space="0"/>
              <w:left w:val="single" w:color="auto" w:sz="4" w:space="0"/>
              <w:bottom w:val="single" w:color="auto" w:sz="4" w:space="0"/>
              <w:right w:val="single" w:color="auto" w:sz="4" w:space="0"/>
            </w:tcBorders>
            <w:vAlign w:val="center"/>
          </w:tcPr>
          <w:p w14:paraId="027D4018">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竞争性谈判</w:t>
            </w:r>
          </w:p>
        </w:tc>
      </w:tr>
      <w:tr w14:paraId="32C5A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568" w:type="dxa"/>
            <w:tcBorders>
              <w:top w:val="single" w:color="auto" w:sz="4" w:space="0"/>
              <w:left w:val="single" w:color="auto" w:sz="4" w:space="0"/>
              <w:bottom w:val="single" w:color="auto" w:sz="4" w:space="0"/>
              <w:right w:val="single" w:color="auto" w:sz="4" w:space="0"/>
            </w:tcBorders>
            <w:vAlign w:val="center"/>
          </w:tcPr>
          <w:p w14:paraId="4E53F8EB">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5</w:t>
            </w:r>
          </w:p>
        </w:tc>
        <w:tc>
          <w:tcPr>
            <w:tcW w:w="1843" w:type="dxa"/>
            <w:tcBorders>
              <w:top w:val="single" w:color="auto" w:sz="4" w:space="0"/>
              <w:left w:val="single" w:color="auto" w:sz="4" w:space="0"/>
              <w:bottom w:val="single" w:color="auto" w:sz="4" w:space="0"/>
              <w:right w:val="single" w:color="auto" w:sz="4" w:space="0"/>
            </w:tcBorders>
            <w:vAlign w:val="center"/>
          </w:tcPr>
          <w:p w14:paraId="3FC138DC">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资金来源</w:t>
            </w:r>
          </w:p>
        </w:tc>
        <w:tc>
          <w:tcPr>
            <w:tcW w:w="7548" w:type="dxa"/>
            <w:tcBorders>
              <w:top w:val="single" w:color="auto" w:sz="4" w:space="0"/>
              <w:left w:val="single" w:color="auto" w:sz="4" w:space="0"/>
              <w:bottom w:val="single" w:color="auto" w:sz="4" w:space="0"/>
              <w:right w:val="single" w:color="auto" w:sz="4" w:space="0"/>
            </w:tcBorders>
            <w:vAlign w:val="center"/>
          </w:tcPr>
          <w:p w14:paraId="027DDF6E">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自筹资金</w:t>
            </w:r>
          </w:p>
        </w:tc>
      </w:tr>
      <w:tr w14:paraId="687312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vAlign w:val="center"/>
          </w:tcPr>
          <w:p w14:paraId="1C5DAE9D">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6</w:t>
            </w:r>
          </w:p>
        </w:tc>
        <w:tc>
          <w:tcPr>
            <w:tcW w:w="1843" w:type="dxa"/>
            <w:tcBorders>
              <w:top w:val="single" w:color="auto" w:sz="4" w:space="0"/>
              <w:left w:val="single" w:color="auto" w:sz="4" w:space="0"/>
              <w:bottom w:val="single" w:color="auto" w:sz="4" w:space="0"/>
              <w:right w:val="single" w:color="auto" w:sz="4" w:space="0"/>
            </w:tcBorders>
            <w:vAlign w:val="center"/>
          </w:tcPr>
          <w:p w14:paraId="1417F2D6">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谈判最高限价</w:t>
            </w:r>
          </w:p>
        </w:tc>
        <w:tc>
          <w:tcPr>
            <w:tcW w:w="7548" w:type="dxa"/>
            <w:tcBorders>
              <w:top w:val="single" w:color="auto" w:sz="4" w:space="0"/>
              <w:left w:val="single" w:color="auto" w:sz="4" w:space="0"/>
              <w:bottom w:val="single" w:color="auto" w:sz="4" w:space="0"/>
              <w:right w:val="single" w:color="auto" w:sz="4" w:space="0"/>
            </w:tcBorders>
            <w:vAlign w:val="center"/>
          </w:tcPr>
          <w:p w14:paraId="2C7F71BA">
            <w:pPr>
              <w:pStyle w:val="3"/>
              <w:spacing w:before="0" w:after="0" w:line="360" w:lineRule="auto"/>
              <w:jc w:val="both"/>
              <w:rPr>
                <w:rFonts w:cs="宋体" w:asciiTheme="majorEastAsia" w:hAnsiTheme="majorEastAsia" w:eastAsiaTheme="majorEastAsia"/>
                <w:szCs w:val="21"/>
              </w:rPr>
            </w:pPr>
            <w:r>
              <w:rPr>
                <w:rFonts w:hint="eastAsia" w:ascii="宋体" w:hAnsi="宋体"/>
                <w:b w:val="0"/>
                <w:bCs w:val="0"/>
                <w:kern w:val="2"/>
                <w:sz w:val="21"/>
                <w:szCs w:val="21"/>
              </w:rPr>
              <w:t>9800元/年</w:t>
            </w:r>
          </w:p>
        </w:tc>
      </w:tr>
      <w:tr w14:paraId="2B780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68" w:type="dxa"/>
            <w:tcBorders>
              <w:top w:val="single" w:color="auto" w:sz="4" w:space="0"/>
              <w:left w:val="single" w:color="auto" w:sz="4" w:space="0"/>
              <w:bottom w:val="single" w:color="auto" w:sz="4" w:space="0"/>
              <w:right w:val="single" w:color="auto" w:sz="4" w:space="0"/>
            </w:tcBorders>
            <w:vAlign w:val="center"/>
          </w:tcPr>
          <w:p w14:paraId="4BFD6F1D">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7</w:t>
            </w:r>
          </w:p>
        </w:tc>
        <w:tc>
          <w:tcPr>
            <w:tcW w:w="1843" w:type="dxa"/>
            <w:tcBorders>
              <w:top w:val="single" w:color="auto" w:sz="4" w:space="0"/>
              <w:left w:val="single" w:color="auto" w:sz="4" w:space="0"/>
              <w:bottom w:val="single" w:color="auto" w:sz="4" w:space="0"/>
              <w:right w:val="single" w:color="auto" w:sz="4" w:space="0"/>
            </w:tcBorders>
            <w:vAlign w:val="center"/>
          </w:tcPr>
          <w:p w14:paraId="0600359A">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项目地点</w:t>
            </w:r>
          </w:p>
        </w:tc>
        <w:tc>
          <w:tcPr>
            <w:tcW w:w="7548" w:type="dxa"/>
            <w:tcBorders>
              <w:top w:val="single" w:color="auto" w:sz="4" w:space="0"/>
              <w:left w:val="single" w:color="auto" w:sz="4" w:space="0"/>
              <w:bottom w:val="single" w:color="auto" w:sz="4" w:space="0"/>
              <w:right w:val="single" w:color="auto" w:sz="4" w:space="0"/>
            </w:tcBorders>
            <w:vAlign w:val="center"/>
          </w:tcPr>
          <w:p w14:paraId="71021424">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安庆市集贤北路1588号</w:t>
            </w:r>
          </w:p>
        </w:tc>
      </w:tr>
      <w:tr w14:paraId="3F567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8" w:type="dxa"/>
            <w:tcBorders>
              <w:top w:val="single" w:color="auto" w:sz="4" w:space="0"/>
              <w:left w:val="single" w:color="auto" w:sz="4" w:space="0"/>
              <w:bottom w:val="single" w:color="auto" w:sz="4" w:space="0"/>
              <w:right w:val="single" w:color="auto" w:sz="4" w:space="0"/>
            </w:tcBorders>
            <w:vAlign w:val="center"/>
          </w:tcPr>
          <w:p w14:paraId="5F054793">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8</w:t>
            </w:r>
          </w:p>
        </w:tc>
        <w:tc>
          <w:tcPr>
            <w:tcW w:w="1843" w:type="dxa"/>
            <w:tcBorders>
              <w:top w:val="single" w:color="auto" w:sz="4" w:space="0"/>
              <w:left w:val="single" w:color="auto" w:sz="4" w:space="0"/>
              <w:bottom w:val="single" w:color="auto" w:sz="4" w:space="0"/>
              <w:right w:val="single" w:color="auto" w:sz="4" w:space="0"/>
            </w:tcBorders>
            <w:vAlign w:val="center"/>
          </w:tcPr>
          <w:p w14:paraId="3D02D0A1">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设计周期</w:t>
            </w:r>
          </w:p>
        </w:tc>
        <w:tc>
          <w:tcPr>
            <w:tcW w:w="7548" w:type="dxa"/>
            <w:tcBorders>
              <w:top w:val="single" w:color="auto" w:sz="4" w:space="0"/>
              <w:left w:val="single" w:color="auto" w:sz="4" w:space="0"/>
              <w:bottom w:val="single" w:color="auto" w:sz="4" w:space="0"/>
              <w:right w:val="single" w:color="auto" w:sz="4" w:space="0"/>
            </w:tcBorders>
            <w:vAlign w:val="center"/>
          </w:tcPr>
          <w:p w14:paraId="1FA71B06">
            <w:pPr>
              <w:spacing w:line="420" w:lineRule="exact"/>
              <w:rPr>
                <w:rFonts w:hint="eastAsia" w:cs="宋体" w:asciiTheme="majorEastAsia" w:hAnsiTheme="majorEastAsia" w:eastAsiaTheme="majorEastAsia"/>
                <w:szCs w:val="21"/>
                <w:lang w:eastAsia="zh-CN"/>
              </w:rPr>
            </w:pPr>
            <w:r>
              <w:rPr>
                <w:rFonts w:hint="eastAsia" w:cs="宋体" w:asciiTheme="majorEastAsia" w:hAnsiTheme="majorEastAsia" w:eastAsiaTheme="majorEastAsia"/>
                <w:szCs w:val="21"/>
              </w:rPr>
              <w:t>详见竞争性谈判</w:t>
            </w:r>
            <w:r>
              <w:rPr>
                <w:rFonts w:hint="eastAsia" w:cs="宋体" w:asciiTheme="majorEastAsia" w:hAnsiTheme="majorEastAsia" w:eastAsiaTheme="majorEastAsia"/>
                <w:szCs w:val="21"/>
                <w:lang w:val="en-US" w:eastAsia="zh-CN"/>
              </w:rPr>
              <w:t>公告</w:t>
            </w:r>
          </w:p>
        </w:tc>
      </w:tr>
      <w:tr w14:paraId="2CAAFF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14:paraId="4A21FDD8">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9</w:t>
            </w:r>
          </w:p>
        </w:tc>
        <w:tc>
          <w:tcPr>
            <w:tcW w:w="1843" w:type="dxa"/>
            <w:tcBorders>
              <w:top w:val="single" w:color="auto" w:sz="4" w:space="0"/>
              <w:left w:val="single" w:color="auto" w:sz="4" w:space="0"/>
              <w:bottom w:val="single" w:color="auto" w:sz="4" w:space="0"/>
              <w:right w:val="single" w:color="auto" w:sz="4" w:space="0"/>
            </w:tcBorders>
            <w:vAlign w:val="center"/>
          </w:tcPr>
          <w:p w14:paraId="1391D922">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资格要求</w:t>
            </w:r>
          </w:p>
        </w:tc>
        <w:tc>
          <w:tcPr>
            <w:tcW w:w="7548" w:type="dxa"/>
            <w:tcBorders>
              <w:top w:val="single" w:color="auto" w:sz="4" w:space="0"/>
              <w:left w:val="single" w:color="auto" w:sz="4" w:space="0"/>
              <w:bottom w:val="single" w:color="auto" w:sz="4" w:space="0"/>
              <w:right w:val="single" w:color="auto" w:sz="4" w:space="0"/>
            </w:tcBorders>
            <w:vAlign w:val="center"/>
          </w:tcPr>
          <w:p w14:paraId="5E1052FD">
            <w:pPr>
              <w:spacing w:line="420" w:lineRule="exact"/>
              <w:rPr>
                <w:rFonts w:hint="eastAsia" w:cs="宋体" w:asciiTheme="majorEastAsia" w:hAnsiTheme="majorEastAsia" w:eastAsiaTheme="majorEastAsia"/>
                <w:szCs w:val="21"/>
                <w:lang w:eastAsia="zh-CN"/>
              </w:rPr>
            </w:pPr>
            <w:r>
              <w:rPr>
                <w:rFonts w:hint="eastAsia" w:cs="宋体" w:asciiTheme="majorEastAsia" w:hAnsiTheme="majorEastAsia" w:eastAsiaTheme="majorEastAsia"/>
                <w:szCs w:val="21"/>
              </w:rPr>
              <w:t>详见竞争性谈判</w:t>
            </w:r>
            <w:r>
              <w:rPr>
                <w:rFonts w:hint="eastAsia" w:cs="宋体" w:asciiTheme="majorEastAsia" w:hAnsiTheme="majorEastAsia" w:eastAsiaTheme="majorEastAsia"/>
                <w:szCs w:val="21"/>
                <w:lang w:val="en-US" w:eastAsia="zh-CN"/>
              </w:rPr>
              <w:t>公告</w:t>
            </w:r>
          </w:p>
        </w:tc>
      </w:tr>
      <w:tr w14:paraId="4482CB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8" w:type="dxa"/>
            <w:tcBorders>
              <w:top w:val="single" w:color="auto" w:sz="4" w:space="0"/>
              <w:left w:val="single" w:color="auto" w:sz="4" w:space="0"/>
              <w:bottom w:val="single" w:color="auto" w:sz="4" w:space="0"/>
              <w:right w:val="single" w:color="auto" w:sz="4" w:space="0"/>
            </w:tcBorders>
            <w:vAlign w:val="center"/>
          </w:tcPr>
          <w:p w14:paraId="6780A1E3">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10</w:t>
            </w:r>
          </w:p>
        </w:tc>
        <w:tc>
          <w:tcPr>
            <w:tcW w:w="1843" w:type="dxa"/>
            <w:tcBorders>
              <w:top w:val="single" w:color="auto" w:sz="4" w:space="0"/>
              <w:left w:val="single" w:color="auto" w:sz="4" w:space="0"/>
              <w:bottom w:val="single" w:color="auto" w:sz="4" w:space="0"/>
              <w:right w:val="single" w:color="auto" w:sz="4" w:space="0"/>
            </w:tcBorders>
            <w:vAlign w:val="center"/>
          </w:tcPr>
          <w:p w14:paraId="5FE90186">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资格审查方式</w:t>
            </w:r>
          </w:p>
        </w:tc>
        <w:tc>
          <w:tcPr>
            <w:tcW w:w="7548" w:type="dxa"/>
            <w:tcBorders>
              <w:top w:val="single" w:color="auto" w:sz="4" w:space="0"/>
              <w:left w:val="single" w:color="auto" w:sz="4" w:space="0"/>
              <w:bottom w:val="single" w:color="auto" w:sz="4" w:space="0"/>
              <w:right w:val="single" w:color="auto" w:sz="4" w:space="0"/>
            </w:tcBorders>
            <w:vAlign w:val="center"/>
          </w:tcPr>
          <w:p w14:paraId="434994F0">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资格后审</w:t>
            </w:r>
          </w:p>
        </w:tc>
      </w:tr>
      <w:tr w14:paraId="38B5D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568" w:type="dxa"/>
            <w:tcBorders>
              <w:top w:val="single" w:color="auto" w:sz="4" w:space="0"/>
              <w:left w:val="single" w:color="auto" w:sz="4" w:space="0"/>
              <w:bottom w:val="single" w:color="auto" w:sz="4" w:space="0"/>
              <w:right w:val="single" w:color="auto" w:sz="4" w:space="0"/>
            </w:tcBorders>
            <w:vAlign w:val="center"/>
          </w:tcPr>
          <w:p w14:paraId="265799AE">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11</w:t>
            </w:r>
          </w:p>
        </w:tc>
        <w:tc>
          <w:tcPr>
            <w:tcW w:w="1843" w:type="dxa"/>
            <w:tcBorders>
              <w:top w:val="single" w:color="auto" w:sz="4" w:space="0"/>
              <w:left w:val="single" w:color="auto" w:sz="4" w:space="0"/>
              <w:bottom w:val="single" w:color="auto" w:sz="4" w:space="0"/>
              <w:right w:val="single" w:color="auto" w:sz="4" w:space="0"/>
            </w:tcBorders>
            <w:vAlign w:val="center"/>
          </w:tcPr>
          <w:p w14:paraId="7F5E1C0C">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谈判响应有效期</w:t>
            </w:r>
          </w:p>
        </w:tc>
        <w:tc>
          <w:tcPr>
            <w:tcW w:w="7548" w:type="dxa"/>
            <w:tcBorders>
              <w:top w:val="single" w:color="auto" w:sz="4" w:space="0"/>
              <w:left w:val="single" w:color="auto" w:sz="4" w:space="0"/>
              <w:bottom w:val="single" w:color="auto" w:sz="4" w:space="0"/>
              <w:right w:val="single" w:color="auto" w:sz="4" w:space="0"/>
            </w:tcBorders>
            <w:vAlign w:val="center"/>
          </w:tcPr>
          <w:p w14:paraId="105C0CB7">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30日历天（从提交谈判响应文件截止时间算起）</w:t>
            </w:r>
          </w:p>
        </w:tc>
      </w:tr>
      <w:tr w14:paraId="6FD626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568" w:type="dxa"/>
            <w:tcBorders>
              <w:top w:val="single" w:color="auto" w:sz="4" w:space="0"/>
              <w:left w:val="single" w:color="auto" w:sz="4" w:space="0"/>
              <w:bottom w:val="single" w:color="auto" w:sz="4" w:space="0"/>
              <w:right w:val="single" w:color="auto" w:sz="4" w:space="0"/>
            </w:tcBorders>
            <w:vAlign w:val="center"/>
          </w:tcPr>
          <w:p w14:paraId="5782187A">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12</w:t>
            </w:r>
          </w:p>
        </w:tc>
        <w:tc>
          <w:tcPr>
            <w:tcW w:w="1843" w:type="dxa"/>
            <w:tcBorders>
              <w:top w:val="single" w:color="auto" w:sz="4" w:space="0"/>
              <w:left w:val="single" w:color="auto" w:sz="4" w:space="0"/>
              <w:bottom w:val="single" w:color="auto" w:sz="4" w:space="0"/>
              <w:right w:val="single" w:color="auto" w:sz="4" w:space="0"/>
            </w:tcBorders>
            <w:vAlign w:val="center"/>
          </w:tcPr>
          <w:p w14:paraId="0B622311">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质量要求</w:t>
            </w:r>
          </w:p>
        </w:tc>
        <w:tc>
          <w:tcPr>
            <w:tcW w:w="7548" w:type="dxa"/>
            <w:tcBorders>
              <w:top w:val="single" w:color="auto" w:sz="4" w:space="0"/>
              <w:left w:val="single" w:color="auto" w:sz="4" w:space="0"/>
              <w:bottom w:val="single" w:color="auto" w:sz="4" w:space="0"/>
              <w:right w:val="single" w:color="auto" w:sz="4" w:space="0"/>
            </w:tcBorders>
            <w:vAlign w:val="center"/>
          </w:tcPr>
          <w:p w14:paraId="645AB767">
            <w:pPr>
              <w:spacing w:line="420" w:lineRule="exact"/>
              <w:rPr>
                <w:rFonts w:cs="宋体" w:asciiTheme="majorEastAsia" w:hAnsiTheme="majorEastAsia" w:eastAsiaTheme="majorEastAsia"/>
                <w:szCs w:val="21"/>
              </w:rPr>
            </w:pPr>
            <w:r>
              <w:rPr>
                <w:rFonts w:hint="eastAsia" w:ascii="宋体" w:hAnsi="宋体" w:cs="宋体"/>
                <w:szCs w:val="21"/>
              </w:rPr>
              <w:t>所提供服务必须符合本次采购要求</w:t>
            </w:r>
            <w:r>
              <w:rPr>
                <w:rStyle w:val="57"/>
                <w:rFonts w:ascii="宋体" w:hAnsi="宋体"/>
                <w:szCs w:val="21"/>
              </w:rPr>
              <w:t>。</w:t>
            </w:r>
          </w:p>
        </w:tc>
      </w:tr>
      <w:tr w14:paraId="20AA3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14:paraId="2B69CB48">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3789DCC">
            <w:pPr>
              <w:pStyle w:val="55"/>
              <w:wordWrap w:val="0"/>
              <w:adjustRightInd/>
              <w:snapToGrid w:val="0"/>
              <w:jc w:val="both"/>
              <w:rPr>
                <w:rFonts w:cs="Times New Roman"/>
                <w:kern w:val="2"/>
                <w:sz w:val="21"/>
                <w:szCs w:val="21"/>
              </w:rPr>
            </w:pPr>
            <w:r>
              <w:rPr>
                <w:rFonts w:hint="eastAsia" w:cs="Times New Roman"/>
                <w:kern w:val="2"/>
                <w:sz w:val="21"/>
                <w:szCs w:val="21"/>
              </w:rPr>
              <w:t>响应文件份数</w:t>
            </w:r>
          </w:p>
        </w:tc>
        <w:tc>
          <w:tcPr>
            <w:tcW w:w="7548" w:type="dxa"/>
            <w:tcBorders>
              <w:top w:val="single" w:color="auto" w:sz="4" w:space="0"/>
              <w:left w:val="single" w:color="auto" w:sz="4" w:space="0"/>
              <w:bottom w:val="single" w:color="auto" w:sz="4" w:space="0"/>
              <w:right w:val="single" w:color="auto" w:sz="4" w:space="0"/>
            </w:tcBorders>
            <w:vAlign w:val="center"/>
          </w:tcPr>
          <w:p w14:paraId="1FAEECB5">
            <w:pPr>
              <w:pStyle w:val="55"/>
              <w:wordWrap w:val="0"/>
              <w:adjustRightInd/>
              <w:snapToGrid w:val="0"/>
              <w:jc w:val="both"/>
              <w:rPr>
                <w:rFonts w:cs="Times New Roman"/>
                <w:kern w:val="2"/>
                <w:sz w:val="21"/>
                <w:szCs w:val="21"/>
              </w:rPr>
            </w:pPr>
            <w:r>
              <w:rPr>
                <w:rFonts w:hint="eastAsia" w:cs="Times New Roman"/>
                <w:kern w:val="2"/>
                <w:sz w:val="21"/>
                <w:szCs w:val="21"/>
              </w:rPr>
              <w:t>谈判响应文件份数：正本一份，副本二份</w:t>
            </w:r>
          </w:p>
        </w:tc>
      </w:tr>
      <w:tr w14:paraId="15374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14:paraId="1531DD0B">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15</w:t>
            </w:r>
          </w:p>
        </w:tc>
        <w:tc>
          <w:tcPr>
            <w:tcW w:w="1843" w:type="dxa"/>
            <w:tcBorders>
              <w:top w:val="single" w:color="auto" w:sz="4" w:space="0"/>
              <w:left w:val="single" w:color="auto" w:sz="4" w:space="0"/>
              <w:bottom w:val="single" w:color="auto" w:sz="4" w:space="0"/>
              <w:right w:val="single" w:color="auto" w:sz="4" w:space="0"/>
            </w:tcBorders>
            <w:vAlign w:val="center"/>
          </w:tcPr>
          <w:p w14:paraId="5B01D593">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提交响应文件截止时间及地点</w:t>
            </w:r>
          </w:p>
        </w:tc>
        <w:tc>
          <w:tcPr>
            <w:tcW w:w="7548" w:type="dxa"/>
            <w:tcBorders>
              <w:top w:val="single" w:color="auto" w:sz="4" w:space="0"/>
              <w:left w:val="single" w:color="auto" w:sz="4" w:space="0"/>
              <w:bottom w:val="single" w:color="auto" w:sz="4" w:space="0"/>
              <w:right w:val="single" w:color="auto" w:sz="4" w:space="0"/>
            </w:tcBorders>
            <w:vAlign w:val="center"/>
          </w:tcPr>
          <w:p w14:paraId="335E9786">
            <w:pPr>
              <w:pStyle w:val="7"/>
              <w:widowControl/>
              <w:spacing w:line="420" w:lineRule="exact"/>
              <w:jc w:val="both"/>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1、提交响应文件截止时间：</w:t>
            </w:r>
            <w:r>
              <w:rPr>
                <w:rFonts w:hint="eastAsia" w:ascii="宋体" w:hAnsi="宋体" w:eastAsia="宋体" w:cs="宋体"/>
                <w:sz w:val="21"/>
                <w:szCs w:val="21"/>
                <w:u w:val="single"/>
              </w:rPr>
              <w:t>2024</w:t>
            </w:r>
            <w:r>
              <w:rPr>
                <w:rFonts w:hint="eastAsia" w:ascii="宋体" w:hAnsi="宋体" w:eastAsia="宋体" w:cs="宋体"/>
                <w:bCs/>
                <w:sz w:val="21"/>
                <w:szCs w:val="21"/>
                <w:u w:val="single"/>
              </w:rPr>
              <w:t>年9月1</w:t>
            </w:r>
            <w:r>
              <w:rPr>
                <w:rFonts w:hint="eastAsia" w:ascii="宋体" w:hAnsi="宋体" w:eastAsia="宋体" w:cs="宋体"/>
                <w:bCs/>
                <w:sz w:val="21"/>
                <w:szCs w:val="21"/>
                <w:u w:val="single"/>
                <w:lang w:val="en-US" w:eastAsia="zh-CN"/>
              </w:rPr>
              <w:t>8</w:t>
            </w:r>
            <w:r>
              <w:rPr>
                <w:rFonts w:hint="eastAsia" w:ascii="宋体" w:hAnsi="宋体" w:eastAsia="宋体" w:cs="宋体"/>
                <w:bCs/>
                <w:sz w:val="21"/>
                <w:szCs w:val="21"/>
                <w:u w:val="single"/>
              </w:rPr>
              <w:t>日下午14时30分</w:t>
            </w:r>
          </w:p>
          <w:p w14:paraId="5BF58A0C">
            <w:pPr>
              <w:spacing w:line="360" w:lineRule="auto"/>
              <w:rPr>
                <w:rFonts w:ascii="宋体" w:hAnsi="宋体" w:eastAsiaTheme="majorEastAsia"/>
                <w:szCs w:val="21"/>
              </w:rPr>
            </w:pPr>
            <w:r>
              <w:rPr>
                <w:rFonts w:hint="eastAsia" w:cs="宋体" w:asciiTheme="majorEastAsia" w:hAnsiTheme="majorEastAsia" w:eastAsiaTheme="majorEastAsia"/>
                <w:szCs w:val="21"/>
              </w:rPr>
              <w:t>2、</w:t>
            </w:r>
            <w:r>
              <w:rPr>
                <w:rFonts w:hint="eastAsia" w:ascii="宋体" w:hAnsi="宋体"/>
                <w:szCs w:val="21"/>
              </w:rPr>
              <w:t>地点</w:t>
            </w:r>
            <w:r>
              <w:rPr>
                <w:rFonts w:hint="eastAsia" w:cs="宋体" w:asciiTheme="majorEastAsia" w:hAnsiTheme="majorEastAsia" w:eastAsiaTheme="majorEastAsia"/>
                <w:szCs w:val="21"/>
              </w:rPr>
              <w:t>：</w:t>
            </w:r>
            <w:r>
              <w:rPr>
                <w:rFonts w:hint="eastAsia" w:ascii="宋体" w:hAnsi="宋体"/>
                <w:szCs w:val="21"/>
              </w:rPr>
              <w:t>安庆市中医医院北院区（安庆市集贤北路1588号）</w:t>
            </w:r>
          </w:p>
        </w:tc>
      </w:tr>
      <w:tr w14:paraId="6CE42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568" w:type="dxa"/>
            <w:tcBorders>
              <w:top w:val="single" w:color="auto" w:sz="4" w:space="0"/>
              <w:left w:val="single" w:color="auto" w:sz="4" w:space="0"/>
              <w:bottom w:val="single" w:color="auto" w:sz="4" w:space="0"/>
              <w:right w:val="single" w:color="auto" w:sz="4" w:space="0"/>
            </w:tcBorders>
            <w:vAlign w:val="center"/>
          </w:tcPr>
          <w:p w14:paraId="17A5EEE6">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16</w:t>
            </w:r>
          </w:p>
        </w:tc>
        <w:tc>
          <w:tcPr>
            <w:tcW w:w="1843" w:type="dxa"/>
            <w:tcBorders>
              <w:top w:val="single" w:color="auto" w:sz="4" w:space="0"/>
              <w:left w:val="single" w:color="auto" w:sz="4" w:space="0"/>
              <w:bottom w:val="single" w:color="auto" w:sz="4" w:space="0"/>
              <w:right w:val="single" w:color="auto" w:sz="4" w:space="0"/>
            </w:tcBorders>
            <w:vAlign w:val="center"/>
          </w:tcPr>
          <w:p w14:paraId="6497321B">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谈判时间和地点</w:t>
            </w:r>
          </w:p>
        </w:tc>
        <w:tc>
          <w:tcPr>
            <w:tcW w:w="7548" w:type="dxa"/>
            <w:tcBorders>
              <w:top w:val="single" w:color="auto" w:sz="4" w:space="0"/>
              <w:left w:val="single" w:color="auto" w:sz="4" w:space="0"/>
              <w:bottom w:val="single" w:color="auto" w:sz="4" w:space="0"/>
              <w:right w:val="single" w:color="auto" w:sz="4" w:space="0"/>
            </w:tcBorders>
            <w:vAlign w:val="center"/>
          </w:tcPr>
          <w:p w14:paraId="3F76C86F">
            <w:pPr>
              <w:spacing w:line="420" w:lineRule="exact"/>
              <w:rPr>
                <w:rFonts w:hint="eastAsia" w:cs="宋体" w:asciiTheme="majorEastAsia" w:hAnsiTheme="majorEastAsia" w:eastAsiaTheme="majorEastAsia"/>
                <w:szCs w:val="21"/>
                <w:lang w:eastAsia="zh-CN"/>
              </w:rPr>
            </w:pPr>
            <w:r>
              <w:rPr>
                <w:rFonts w:hint="eastAsia" w:cs="宋体" w:asciiTheme="majorEastAsia" w:hAnsiTheme="majorEastAsia" w:eastAsiaTheme="majorEastAsia"/>
                <w:szCs w:val="21"/>
              </w:rPr>
              <w:t>详见竞争性谈判</w:t>
            </w:r>
            <w:r>
              <w:rPr>
                <w:rFonts w:hint="eastAsia" w:cs="宋体" w:asciiTheme="majorEastAsia" w:hAnsiTheme="majorEastAsia" w:eastAsiaTheme="majorEastAsia"/>
                <w:szCs w:val="21"/>
                <w:lang w:val="en-US" w:eastAsia="zh-CN"/>
              </w:rPr>
              <w:t>公告</w:t>
            </w:r>
          </w:p>
        </w:tc>
      </w:tr>
      <w:tr w14:paraId="3A16F8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68" w:type="dxa"/>
            <w:tcBorders>
              <w:top w:val="single" w:color="auto" w:sz="4" w:space="0"/>
              <w:left w:val="single" w:color="auto" w:sz="4" w:space="0"/>
              <w:bottom w:val="single" w:color="auto" w:sz="4" w:space="0"/>
              <w:right w:val="single" w:color="auto" w:sz="4" w:space="0"/>
            </w:tcBorders>
            <w:vAlign w:val="center"/>
          </w:tcPr>
          <w:p w14:paraId="49E95A03">
            <w:pPr>
              <w:spacing w:line="42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17</w:t>
            </w:r>
          </w:p>
        </w:tc>
        <w:tc>
          <w:tcPr>
            <w:tcW w:w="1843" w:type="dxa"/>
            <w:tcBorders>
              <w:top w:val="single" w:color="auto" w:sz="4" w:space="0"/>
              <w:left w:val="single" w:color="auto" w:sz="4" w:space="0"/>
              <w:bottom w:val="single" w:color="auto" w:sz="4" w:space="0"/>
              <w:right w:val="single" w:color="auto" w:sz="4" w:space="0"/>
            </w:tcBorders>
            <w:vAlign w:val="center"/>
          </w:tcPr>
          <w:p w14:paraId="4D47FE2C">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szCs w:val="21"/>
              </w:rPr>
              <w:t>评审方法</w:t>
            </w:r>
          </w:p>
        </w:tc>
        <w:tc>
          <w:tcPr>
            <w:tcW w:w="7548" w:type="dxa"/>
            <w:tcBorders>
              <w:top w:val="single" w:color="auto" w:sz="4" w:space="0"/>
              <w:left w:val="single" w:color="auto" w:sz="4" w:space="0"/>
              <w:bottom w:val="single" w:color="auto" w:sz="4" w:space="0"/>
              <w:right w:val="single" w:color="auto" w:sz="4" w:space="0"/>
            </w:tcBorders>
            <w:vAlign w:val="center"/>
          </w:tcPr>
          <w:p w14:paraId="09824DF0">
            <w:pPr>
              <w:spacing w:line="420" w:lineRule="exact"/>
              <w:rPr>
                <w:rFonts w:cs="宋体" w:asciiTheme="majorEastAsia" w:hAnsiTheme="majorEastAsia" w:eastAsiaTheme="majorEastAsia"/>
                <w:szCs w:val="21"/>
              </w:rPr>
            </w:pPr>
            <w:r>
              <w:rPr>
                <w:rFonts w:hint="eastAsia" w:cs="宋体" w:asciiTheme="majorEastAsia" w:hAnsiTheme="majorEastAsia" w:eastAsiaTheme="majorEastAsia"/>
                <w:b/>
              </w:rPr>
              <w:t>采用符合性评审的有效最低价评审方法</w:t>
            </w:r>
          </w:p>
        </w:tc>
      </w:tr>
      <w:tr w14:paraId="2C7C0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6" w:hRule="atLeast"/>
        </w:trPr>
        <w:tc>
          <w:tcPr>
            <w:tcW w:w="568" w:type="dxa"/>
            <w:tcBorders>
              <w:top w:val="single" w:color="auto" w:sz="4" w:space="0"/>
              <w:left w:val="single" w:color="auto" w:sz="4" w:space="0"/>
              <w:bottom w:val="single" w:color="auto" w:sz="4" w:space="0"/>
              <w:right w:val="single" w:color="auto" w:sz="4" w:space="0"/>
            </w:tcBorders>
            <w:vAlign w:val="center"/>
          </w:tcPr>
          <w:p w14:paraId="377EAF97">
            <w:pPr>
              <w:spacing w:line="420" w:lineRule="exact"/>
              <w:jc w:val="center"/>
              <w:rPr>
                <w:rFonts w:ascii="宋体" w:hAnsi="宋体" w:cs="宋体"/>
                <w:szCs w:val="21"/>
              </w:rPr>
            </w:pPr>
            <w:r>
              <w:rPr>
                <w:rFonts w:hint="eastAsia" w:ascii="宋体" w:hAnsi="宋体" w:cs="宋体"/>
                <w:szCs w:val="21"/>
              </w:rPr>
              <w:t>20</w:t>
            </w:r>
          </w:p>
        </w:tc>
        <w:tc>
          <w:tcPr>
            <w:tcW w:w="1843" w:type="dxa"/>
            <w:tcBorders>
              <w:top w:val="single" w:color="auto" w:sz="4" w:space="0"/>
              <w:left w:val="single" w:color="auto" w:sz="4" w:space="0"/>
              <w:bottom w:val="single" w:color="auto" w:sz="4" w:space="0"/>
              <w:right w:val="single" w:color="auto" w:sz="4" w:space="0"/>
            </w:tcBorders>
            <w:vAlign w:val="center"/>
          </w:tcPr>
          <w:p w14:paraId="6D2D7AF6">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付款方式</w:t>
            </w:r>
          </w:p>
        </w:tc>
        <w:tc>
          <w:tcPr>
            <w:tcW w:w="7548" w:type="dxa"/>
            <w:tcBorders>
              <w:top w:val="single" w:color="auto" w:sz="4" w:space="0"/>
              <w:left w:val="single" w:color="auto" w:sz="4" w:space="0"/>
              <w:bottom w:val="single" w:color="auto" w:sz="4" w:space="0"/>
              <w:right w:val="single" w:color="auto" w:sz="4" w:space="0"/>
            </w:tcBorders>
            <w:vAlign w:val="center"/>
          </w:tcPr>
          <w:p w14:paraId="0624C9C3">
            <w:pPr>
              <w:spacing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合同价为成交人的最终报价。</w:t>
            </w:r>
          </w:p>
          <w:p w14:paraId="5EA3775B">
            <w:pPr>
              <w:spacing w:line="360" w:lineRule="auto"/>
              <w:rPr>
                <w:rFonts w:ascii="宋体" w:hAnsi="宋体" w:cs="宋体"/>
                <w:szCs w:val="21"/>
              </w:rPr>
            </w:pPr>
            <w:r>
              <w:rPr>
                <w:rFonts w:hint="eastAsia" w:ascii="宋体" w:hAnsi="宋体" w:cs="宋体"/>
                <w:szCs w:val="21"/>
              </w:rPr>
              <w:t>成交人完成各项审计工作，并提交全部成果审计报告后按安庆市中医医院</w:t>
            </w:r>
            <w:r>
              <w:rPr>
                <w:rFonts w:hint="eastAsia" w:ascii="宋体" w:hAnsi="宋体" w:cs="宋体"/>
                <w:szCs w:val="21"/>
                <w:lang w:val="en-US" w:eastAsia="zh-CN"/>
              </w:rPr>
              <w:t>30天</w:t>
            </w:r>
            <w:r>
              <w:rPr>
                <w:rFonts w:hint="eastAsia" w:ascii="宋体" w:hAnsi="宋体" w:cs="宋体"/>
                <w:szCs w:val="21"/>
              </w:rPr>
              <w:t>内支付。</w:t>
            </w:r>
          </w:p>
          <w:p w14:paraId="3F79C0B8">
            <w:pPr>
              <w:spacing w:line="360" w:lineRule="auto"/>
              <w:rPr>
                <w:rFonts w:asciiTheme="majorEastAsia" w:hAnsiTheme="majorEastAsia" w:eastAsiaTheme="majorEastAsia"/>
                <w:szCs w:val="21"/>
              </w:rPr>
            </w:pPr>
            <w:r>
              <w:rPr>
                <w:rFonts w:hint="eastAsia" w:ascii="宋体" w:hAnsi="宋体" w:cs="宋体"/>
                <w:szCs w:val="21"/>
              </w:rPr>
              <w:t>注：成交人需提供真实、有效的收费发票。</w:t>
            </w:r>
          </w:p>
        </w:tc>
      </w:tr>
    </w:tbl>
    <w:p w14:paraId="37027A9B">
      <w:pPr>
        <w:pStyle w:val="46"/>
        <w:rPr>
          <w:rFonts w:hint="eastAsia" w:asciiTheme="majorEastAsia" w:hAnsiTheme="majorEastAsia" w:eastAsiaTheme="majorEastAsia"/>
          <w:sz w:val="28"/>
          <w:szCs w:val="28"/>
        </w:rPr>
      </w:pPr>
    </w:p>
    <w:p w14:paraId="38D0E0FB">
      <w:pPr>
        <w:pStyle w:val="46"/>
        <w:keepNext w:val="0"/>
        <w:keepLines w:val="0"/>
        <w:kinsoku w:val="0"/>
        <w:rPr>
          <w:rFonts w:asciiTheme="majorEastAsia" w:hAnsiTheme="majorEastAsia" w:eastAsiaTheme="majorEastAsia"/>
        </w:rPr>
      </w:pPr>
      <w:r>
        <w:rPr>
          <w:rFonts w:hint="eastAsia" w:asciiTheme="majorEastAsia" w:hAnsiTheme="majorEastAsia" w:eastAsiaTheme="majorEastAsia"/>
        </w:rPr>
        <w:t>第二节  谈判响应人须知</w:t>
      </w:r>
    </w:p>
    <w:p w14:paraId="5E483FF5">
      <w:pPr>
        <w:pStyle w:val="5"/>
        <w:keepNext w:val="0"/>
        <w:keepLines w:val="0"/>
        <w:wordWrap/>
        <w:spacing w:line="500" w:lineRule="exact"/>
        <w:ind w:firstLine="472" w:firstLineChars="196"/>
        <w:jc w:val="both"/>
        <w:rPr>
          <w:rFonts w:cs="宋体" w:asciiTheme="majorEastAsia" w:hAnsiTheme="majorEastAsia" w:eastAsiaTheme="majorEastAsia"/>
        </w:rPr>
      </w:pPr>
      <w:bookmarkStart w:id="8" w:name="_Toc7034"/>
      <w:bookmarkStart w:id="9" w:name="_Toc522523980"/>
      <w:r>
        <w:rPr>
          <w:rFonts w:hint="eastAsia" w:cs="宋体" w:asciiTheme="majorEastAsia" w:hAnsiTheme="majorEastAsia" w:eastAsiaTheme="majorEastAsia"/>
        </w:rPr>
        <w:t>一、总则</w:t>
      </w:r>
      <w:bookmarkEnd w:id="8"/>
      <w:bookmarkEnd w:id="9"/>
    </w:p>
    <w:p w14:paraId="4BF3BCD7">
      <w:pPr>
        <w:spacing w:line="500" w:lineRule="exact"/>
        <w:ind w:firstLine="422" w:firstLineChars="200"/>
        <w:rPr>
          <w:rFonts w:cs="宋体" w:asciiTheme="majorEastAsia" w:hAnsiTheme="majorEastAsia" w:eastAsiaTheme="majorEastAsia"/>
          <w:szCs w:val="21"/>
        </w:rPr>
      </w:pPr>
      <w:r>
        <w:rPr>
          <w:rFonts w:hint="eastAsia" w:cs="宋体" w:asciiTheme="majorEastAsia" w:hAnsiTheme="majorEastAsia" w:eastAsiaTheme="majorEastAsia"/>
          <w:b/>
          <w:szCs w:val="21"/>
        </w:rPr>
        <w:t>1、</w:t>
      </w:r>
      <w:r>
        <w:rPr>
          <w:rFonts w:hint="eastAsia" w:cs="宋体" w:asciiTheme="majorEastAsia" w:hAnsiTheme="majorEastAsia" w:eastAsiaTheme="majorEastAsia"/>
          <w:szCs w:val="21"/>
        </w:rPr>
        <w:t>本竞争性谈判文件根据《中华人民共和国政府采购法》和《中华人民共和国政府采购法实施条例》等有关法律、法规、规章制定。</w:t>
      </w:r>
    </w:p>
    <w:p w14:paraId="2B5A1C4A">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2、定义</w:t>
      </w:r>
    </w:p>
    <w:p w14:paraId="551D19AE">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2.1、采购单位是指采购人。</w:t>
      </w:r>
    </w:p>
    <w:p w14:paraId="04C90B08">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2.2、谈判响应人是指对“谈判响应人须知前附表”序号1所指的项目表现出兴趣，按照</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的程序，从采购单位获取了竞争性谈判文件，并实际参与了该项目谈判活动的供应商。</w:t>
      </w:r>
    </w:p>
    <w:p w14:paraId="02755020">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3、谈判响应人资格要求</w:t>
      </w:r>
    </w:p>
    <w:p w14:paraId="051093C8">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3.1、参与本项目的谈判响应人必须满足的要求：详见谈判响应人须知前附表。</w:t>
      </w:r>
    </w:p>
    <w:p w14:paraId="4509C702">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3.2、谈判响应人之间如果存在下列情形之一的，不得同时参加同一包别或者不分包别的同一项目谈判响应：</w:t>
      </w:r>
    </w:p>
    <w:p w14:paraId="3B7712C7">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3.2.1</w:t>
      </w:r>
      <w:r>
        <w:rPr>
          <w:rFonts w:hint="eastAsia" w:cs="宋体" w:asciiTheme="majorEastAsia" w:hAnsiTheme="majorEastAsia" w:eastAsiaTheme="majorEastAsia"/>
        </w:rPr>
        <w:t>单位负责人为同一人或者存在直接控股、管理关系的不同供应商。</w:t>
      </w:r>
    </w:p>
    <w:p w14:paraId="1B50D7A3">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3.2.2</w:t>
      </w:r>
      <w:r>
        <w:rPr>
          <w:rFonts w:hint="eastAsia" w:cs="宋体" w:asciiTheme="majorEastAsia" w:hAnsiTheme="majorEastAsia" w:eastAsiaTheme="majorEastAsia"/>
        </w:rPr>
        <w:t>除单一来源采购项目外，为采购项目提供整体设计、规范编制或者项目管理、监理、检测等服务的供应商</w:t>
      </w:r>
      <w:r>
        <w:rPr>
          <w:rFonts w:hint="eastAsia" w:cs="宋体" w:asciiTheme="majorEastAsia" w:hAnsiTheme="majorEastAsia" w:eastAsiaTheme="majorEastAsia"/>
          <w:szCs w:val="21"/>
        </w:rPr>
        <w:t>。</w:t>
      </w:r>
    </w:p>
    <w:p w14:paraId="380AFAA3">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3.3、谈判响应人必须确保自己信息真实、准确，否则，谈判响应人因此蒙受损失，采购单位概不负责。</w:t>
      </w:r>
    </w:p>
    <w:p w14:paraId="2E03DFCB">
      <w:pPr>
        <w:spacing w:line="500" w:lineRule="exact"/>
        <w:ind w:firstLine="422" w:firstLineChars="200"/>
        <w:rPr>
          <w:rFonts w:cs="宋体" w:asciiTheme="majorEastAsia" w:hAnsiTheme="majorEastAsia" w:eastAsiaTheme="majorEastAsia"/>
          <w:szCs w:val="21"/>
        </w:rPr>
      </w:pPr>
      <w:r>
        <w:rPr>
          <w:rFonts w:hint="eastAsia" w:cs="宋体" w:asciiTheme="majorEastAsia" w:hAnsiTheme="majorEastAsia" w:eastAsiaTheme="majorEastAsia"/>
          <w:b/>
        </w:rPr>
        <w:t>4、踏勘现场：</w:t>
      </w:r>
      <w:r>
        <w:rPr>
          <w:rFonts w:hint="eastAsia" w:cs="宋体" w:asciiTheme="majorEastAsia" w:hAnsiTheme="majorEastAsia" w:eastAsiaTheme="majorEastAsia"/>
          <w:szCs w:val="21"/>
        </w:rPr>
        <w:t>谈判响应人自行踏勘现场。谈判响应人应认真</w:t>
      </w:r>
      <w:r>
        <w:rPr>
          <w:rFonts w:hint="eastAsia"/>
        </w:rPr>
        <w:t>对供货及服务现场、周围环境进行踏勘</w:t>
      </w:r>
      <w:r>
        <w:rPr>
          <w:rFonts w:hint="eastAsia" w:cs="宋体" w:asciiTheme="majorEastAsia" w:hAnsiTheme="majorEastAsia" w:eastAsiaTheme="majorEastAsia"/>
          <w:szCs w:val="21"/>
        </w:rPr>
        <w:t>，</w:t>
      </w:r>
      <w:r>
        <w:rPr>
          <w:rFonts w:hint="eastAsia"/>
        </w:rPr>
        <w:t>以获取编制谈判文件和签署合同所需的资料</w:t>
      </w:r>
      <w:r>
        <w:rPr>
          <w:rFonts w:hint="eastAsia" w:cs="宋体" w:asciiTheme="majorEastAsia" w:hAnsiTheme="majorEastAsia" w:eastAsiaTheme="majorEastAsia"/>
          <w:szCs w:val="21"/>
        </w:rPr>
        <w:t>。谈判响应人自行负责在踏勘现场发生的人员伤亡和财产损失。成交后签订合同时和提供服务过程中，谈判响应人不得以不了解或不完全了解现场情况为由，提出任何形式的增加费用或索赔的要求。</w:t>
      </w:r>
    </w:p>
    <w:p w14:paraId="1213A6F1">
      <w:pPr>
        <w:adjustRightInd w:val="0"/>
        <w:spacing w:line="500" w:lineRule="exact"/>
        <w:ind w:firstLine="413" w:firstLineChars="196"/>
        <w:rPr>
          <w:rFonts w:cs="宋体" w:asciiTheme="majorEastAsia" w:hAnsiTheme="majorEastAsia" w:eastAsiaTheme="majorEastAsia"/>
          <w:b/>
          <w:szCs w:val="21"/>
        </w:rPr>
      </w:pPr>
      <w:r>
        <w:rPr>
          <w:rFonts w:hint="eastAsia" w:cs="宋体" w:asciiTheme="majorEastAsia" w:hAnsiTheme="majorEastAsia" w:eastAsiaTheme="majorEastAsia"/>
          <w:b/>
          <w:szCs w:val="21"/>
        </w:rPr>
        <w:t>5、联合体响应</w:t>
      </w:r>
    </w:p>
    <w:p w14:paraId="2624682C">
      <w:pPr>
        <w:spacing w:line="360" w:lineRule="auto"/>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lang w:val="en-US" w:eastAsia="zh-CN"/>
        </w:rPr>
        <w:t>本</w:t>
      </w:r>
      <w:r>
        <w:rPr>
          <w:rStyle w:val="57"/>
          <w:rFonts w:hint="eastAsia" w:ascii="宋体" w:hAnsi="宋体" w:cs="宋体"/>
          <w:kern w:val="0"/>
          <w:szCs w:val="21"/>
        </w:rPr>
        <w:t>项目不接受联合体形式谈判。</w:t>
      </w:r>
    </w:p>
    <w:p w14:paraId="69923BE6">
      <w:pPr>
        <w:spacing w:line="500" w:lineRule="exact"/>
        <w:ind w:firstLine="310" w:firstLineChars="147"/>
        <w:rPr>
          <w:rFonts w:cs="宋体" w:asciiTheme="majorEastAsia" w:hAnsiTheme="majorEastAsia" w:eastAsiaTheme="majorEastAsia"/>
          <w:szCs w:val="21"/>
        </w:rPr>
      </w:pPr>
      <w:r>
        <w:rPr>
          <w:rFonts w:hint="eastAsia" w:cs="宋体" w:asciiTheme="majorEastAsia" w:hAnsiTheme="majorEastAsia" w:eastAsiaTheme="majorEastAsia"/>
          <w:b/>
        </w:rPr>
        <w:t>6、谈判响应费用：</w:t>
      </w:r>
      <w:r>
        <w:rPr>
          <w:rFonts w:hint="eastAsia" w:cs="宋体" w:asciiTheme="majorEastAsia" w:hAnsiTheme="majorEastAsia" w:eastAsiaTheme="majorEastAsia"/>
          <w:b/>
          <w:szCs w:val="21"/>
        </w:rPr>
        <w:t>谈判响应人必须自行承担参加谈判响应的所有费用。</w:t>
      </w:r>
      <w:r>
        <w:rPr>
          <w:rFonts w:hint="eastAsia" w:cs="宋体" w:asciiTheme="majorEastAsia" w:hAnsiTheme="majorEastAsia" w:eastAsiaTheme="majorEastAsia"/>
          <w:szCs w:val="21"/>
        </w:rPr>
        <w:t>不论成交与否，采购单位在任何情况下均无义务和责任承担这些费用。</w:t>
      </w:r>
    </w:p>
    <w:p w14:paraId="0FC6709D">
      <w:pPr>
        <w:pStyle w:val="5"/>
        <w:keepNext w:val="0"/>
        <w:keepLines w:val="0"/>
        <w:wordWrap/>
        <w:spacing w:line="500" w:lineRule="exact"/>
        <w:ind w:firstLine="472" w:firstLineChars="196"/>
        <w:rPr>
          <w:rFonts w:cs="宋体" w:asciiTheme="majorEastAsia" w:hAnsiTheme="majorEastAsia" w:eastAsiaTheme="majorEastAsia"/>
        </w:rPr>
      </w:pPr>
      <w:bookmarkStart w:id="10" w:name="_Toc8536"/>
      <w:bookmarkStart w:id="11" w:name="_Toc522523981"/>
      <w:r>
        <w:rPr>
          <w:rFonts w:hint="eastAsia" w:cs="宋体" w:asciiTheme="majorEastAsia" w:hAnsiTheme="majorEastAsia" w:eastAsiaTheme="majorEastAsia"/>
        </w:rPr>
        <w:t>二、竞争性谈判文件</w:t>
      </w:r>
      <w:bookmarkEnd w:id="10"/>
      <w:bookmarkEnd w:id="11"/>
    </w:p>
    <w:p w14:paraId="61490E51">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7、竞争性谈判文件的构成</w:t>
      </w:r>
    </w:p>
    <w:p w14:paraId="1D9C5CB6">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7.1、竞争性谈判文件包括：</w:t>
      </w:r>
    </w:p>
    <w:p w14:paraId="218B7243">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7.1.1、第一章  竞争性谈判公告；</w:t>
      </w:r>
    </w:p>
    <w:p w14:paraId="7C86A7B3">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7.1.2、第二章  谈判响应人须知；</w:t>
      </w:r>
    </w:p>
    <w:p w14:paraId="30087257">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7.1.3、第三章  服务需求；</w:t>
      </w:r>
    </w:p>
    <w:p w14:paraId="6E235D5C">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7.1.4、第四章  合同主要条款；</w:t>
      </w:r>
    </w:p>
    <w:p w14:paraId="15B0E453">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7.1.5、第五章  谈判响应文件格式。</w:t>
      </w:r>
    </w:p>
    <w:p w14:paraId="6354C4EA">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7.2、谈判响应人应认真阅读和充分理解竞争性谈判文件中所有的内容。如果谈判响应人没有满足竞争性谈判文件的有关要求，其风险由谈判响应人自行承担。</w:t>
      </w:r>
    </w:p>
    <w:p w14:paraId="785D481C">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7.3、谈判响应人获取竞争性谈判文件后，应仔细检查竞争性谈判文件的所有内容，如有残缺、文本不清晰、表述不一致等问题应在获得竞争性谈判文件 1 日内向采购单位提出，否则，由此引起的一切损失和后果由谈判响应人自行承担。谈判响应人同时应认真审阅竞争性谈判文件中所有的事项、格式、条款和规范要求等，若谈判响应人的谈判响应文件没有按竞争性谈判文件要求提交全部资料及自己理解产生的误差，或谈判响应文件没有对竞争性谈判文件做出实质性响应，其风险由谈判响应人自行承担，并根据有关条款</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该谈判响应有可能被拒绝。</w:t>
      </w:r>
    </w:p>
    <w:p w14:paraId="6DEF16DA">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8、竞争性谈判文件的澄清</w:t>
      </w:r>
    </w:p>
    <w:p w14:paraId="7ECF4CE1">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8.1、谈判响应人可以要求采购单位对竞争性谈判文件中的有关问题进行答疑或澄清。</w:t>
      </w:r>
    </w:p>
    <w:p w14:paraId="18F55C80">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8.2、谈判响应人对竞争性谈判文件如有质疑，应在提交响应文件截止时间2个工作日前提交给采购代理机构。</w:t>
      </w:r>
    </w:p>
    <w:p w14:paraId="0740B2E6">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8.3、如果谈判响应人未在</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的时间内对竞争性谈判文件有关条款提出质疑，则视为充分理解竞争性谈判文件所有内容。一旦提交谈判响应文件，则认为该谈判响应人接受竞争性谈判文件的所有条款。</w:t>
      </w:r>
    </w:p>
    <w:p w14:paraId="4BC10569">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8.4、采购单位对在</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时间收到的、且需要做出澄清的问题，将以本须知所述方式进行答复，但不说明问题的来源。</w:t>
      </w:r>
    </w:p>
    <w:p w14:paraId="695F67BB">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9、竞争性谈判文件的修改</w:t>
      </w:r>
    </w:p>
    <w:p w14:paraId="07DF4729">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9.1、采购单位可以对竞争性谈判文件进行修改。</w:t>
      </w:r>
    </w:p>
    <w:p w14:paraId="2FE11FC0">
      <w:pPr>
        <w:spacing w:line="50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9.2、采购单位对谈判响应人质疑的答复和对竞争性谈判文件的澄清、修改、补充说明等内容均通过书面或邮件方式发布，该修改内容作为竞争性谈判文件的组成部分，具有约束作用。</w:t>
      </w:r>
    </w:p>
    <w:p w14:paraId="43C4632F">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9.3、当竞争性谈判文件与对竞争性谈判文件的澄清、修改、补充等在同一内容的表述上不一致时，以最后发出的为准。</w:t>
      </w:r>
    </w:p>
    <w:p w14:paraId="3E42A53A">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9.4、为使谈判响应人有充分时间对竞争性谈判文件的澄清、修改、补充部分进行研究，或是由于其他原因，采购单位可以决定顺延提交响应文件截止时间，具体时间通过书面形式发布。</w:t>
      </w:r>
    </w:p>
    <w:p w14:paraId="53F3A2B2">
      <w:pPr>
        <w:pStyle w:val="5"/>
        <w:keepNext w:val="0"/>
        <w:keepLines w:val="0"/>
        <w:wordWrap/>
        <w:spacing w:line="500" w:lineRule="exact"/>
        <w:ind w:firstLine="472" w:firstLineChars="196"/>
        <w:rPr>
          <w:rFonts w:cs="宋体" w:asciiTheme="majorEastAsia" w:hAnsiTheme="majorEastAsia" w:eastAsiaTheme="majorEastAsia"/>
        </w:rPr>
      </w:pPr>
      <w:bookmarkStart w:id="12" w:name="_Toc9821"/>
      <w:bookmarkStart w:id="13" w:name="_Toc522523982"/>
      <w:r>
        <w:rPr>
          <w:rFonts w:hint="eastAsia" w:cs="宋体" w:asciiTheme="majorEastAsia" w:hAnsiTheme="majorEastAsia" w:eastAsiaTheme="majorEastAsia"/>
        </w:rPr>
        <w:t>三、谈判响应文件的编制</w:t>
      </w:r>
      <w:bookmarkEnd w:id="12"/>
      <w:bookmarkEnd w:id="13"/>
    </w:p>
    <w:p w14:paraId="407AC96E">
      <w:pPr>
        <w:spacing w:line="500" w:lineRule="exact"/>
        <w:rPr>
          <w:rFonts w:cs="宋体" w:asciiTheme="majorEastAsia" w:hAnsiTheme="majorEastAsia" w:eastAsiaTheme="majorEastAsia"/>
          <w:b/>
          <w:szCs w:val="21"/>
        </w:rPr>
      </w:pPr>
      <w:r>
        <w:rPr>
          <w:rFonts w:hint="eastAsia" w:cs="宋体" w:asciiTheme="majorEastAsia" w:hAnsiTheme="majorEastAsia" w:eastAsiaTheme="majorEastAsia"/>
          <w:b/>
          <w:szCs w:val="21"/>
        </w:rPr>
        <w:t xml:space="preserve">    10、谈判响应的语言及度量衡单位</w:t>
      </w:r>
    </w:p>
    <w:p w14:paraId="315415A9">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10.1、谈判响应人的谈判响应文件、谈判响应人与采购单位就谈判响应的所有往来函电，均须使用简体中文。</w:t>
      </w:r>
    </w:p>
    <w:p w14:paraId="0238CCFE">
      <w:pPr>
        <w:spacing w:line="500" w:lineRule="exac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10.2、除竞争性谈判文件中另有</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外，谈判响应文件所使用的度量衡均须采用中华人民共和国法定计量单位。</w:t>
      </w:r>
    </w:p>
    <w:p w14:paraId="1CAF19E0">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11、谈判响应文件的构成</w:t>
      </w:r>
    </w:p>
    <w:p w14:paraId="08BB91BF">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11.1、谈判响应文件应该按照“谈判响应文件格式”</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的内容和顺序进行编写。</w:t>
      </w:r>
    </w:p>
    <w:p w14:paraId="1B142B6C">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11.2、谈判响应人应提交“谈判响应人须知前附表”中</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的谈判响应文件。</w:t>
      </w:r>
    </w:p>
    <w:p w14:paraId="26C60D7A">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11.3、谈判响应人必须对其谈判响应文件的真实性与准确性负责。谈判响应人一旦成交，其谈判响应文件将作为合同的重要组成部分。</w:t>
      </w:r>
    </w:p>
    <w:p w14:paraId="3344E198">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11.4、谈判响应人提供的产品质量和服务均能满足竞争性谈判文件</w:t>
      </w:r>
      <w:r>
        <w:rPr>
          <w:rFonts w:hint="eastAsia" w:cs="宋体" w:asciiTheme="majorEastAsia" w:hAnsiTheme="majorEastAsia" w:eastAsiaTheme="majorEastAsia"/>
        </w:rPr>
        <w:t>约定</w:t>
      </w:r>
      <w:r>
        <w:rPr>
          <w:rFonts w:hint="eastAsia" w:cs="宋体" w:asciiTheme="majorEastAsia" w:hAnsiTheme="majorEastAsia" w:eastAsiaTheme="majorEastAsia"/>
          <w:szCs w:val="21"/>
        </w:rPr>
        <w:t>的实质性要求。否则，其谈判响应文件在评审时有可能被认为是对竞争性谈判文件未做出实质性的响应，而被谈判小组终止对其作进一步的评审。</w:t>
      </w:r>
    </w:p>
    <w:p w14:paraId="6C0AD034">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12、谈判响应报价</w:t>
      </w:r>
    </w:p>
    <w:p w14:paraId="790DC899">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12.1、谈判响应文件的服务报价表上应清楚地标明谈判响应人拟服务的价格。单价不作为合同结算依据。</w:t>
      </w:r>
    </w:p>
    <w:p w14:paraId="365F5744">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12.2、除非特别要求，每个项目（或每个包）只允许有一个方案、一个报价。多方案、多报价的谈判响应文件将视为无效谈判响应文件。</w:t>
      </w:r>
    </w:p>
    <w:p w14:paraId="1AAB29FD">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12.3.1、谈判响应人的报价应包含满足本次采购需求的所有费用</w:t>
      </w:r>
      <w:r>
        <w:rPr>
          <w:rFonts w:hint="eastAsia" w:ascii="宋体" w:hAnsi="宋体" w:cs="宋体"/>
          <w:szCs w:val="21"/>
        </w:rPr>
        <w:t>（包括但不限于：办公场地费、人工费、材料费、交通费、印刷费、管理费、保险、税金、利润等）。</w:t>
      </w:r>
    </w:p>
    <w:p w14:paraId="3D236935">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12.3.2、报价应包含物价上涨及政策性因素影响，合同执行期间不因物价上涨及政策性因素影响调整相关费用。</w:t>
      </w:r>
    </w:p>
    <w:p w14:paraId="2AD84241">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12.4、谈判响应报价高于最高限价的谈判响应无效。</w:t>
      </w:r>
    </w:p>
    <w:p w14:paraId="12987DC2">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12.5、算术错误的修正：</w:t>
      </w:r>
    </w:p>
    <w:p w14:paraId="6A9B8DC5">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12.5.1、谈判响应文件中谈判响应函(谈判响应报价)与谈判响应文件中相应内容不一致的,以谈判响应函(谈判响应报价)为准。</w:t>
      </w:r>
    </w:p>
    <w:p w14:paraId="6942460F">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12.5.2、若大写金额和小写金额不一致的，以大写金额为准。</w:t>
      </w:r>
    </w:p>
    <w:p w14:paraId="539D4C41">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2</w:t>
      </w:r>
      <w:r>
        <w:rPr>
          <w:rFonts w:hint="eastAsia" w:cs="宋体" w:asciiTheme="majorEastAsia" w:hAnsiTheme="majorEastAsia" w:eastAsiaTheme="majorEastAsia"/>
          <w:szCs w:val="21"/>
        </w:rPr>
        <w:t>.</w:t>
      </w:r>
      <w:r>
        <w:rPr>
          <w:rFonts w:cs="宋体" w:asciiTheme="majorEastAsia" w:hAnsiTheme="majorEastAsia" w:eastAsiaTheme="majorEastAsia"/>
          <w:szCs w:val="21"/>
        </w:rPr>
        <w:t>5.3</w:t>
      </w:r>
      <w:r>
        <w:rPr>
          <w:rFonts w:hint="eastAsia" w:cs="宋体" w:asciiTheme="majorEastAsia" w:hAnsiTheme="majorEastAsia" w:eastAsiaTheme="majorEastAsia"/>
          <w:szCs w:val="21"/>
        </w:rPr>
        <w:t>、单价金额小数点或者百分比有明显错位的，应以谈判响应函(谈判响应报价)为准，并修正单价。</w:t>
      </w:r>
    </w:p>
    <w:p w14:paraId="4AA78DAE">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w:t>
      </w:r>
      <w:r>
        <w:rPr>
          <w:rFonts w:cs="宋体" w:asciiTheme="majorEastAsia" w:hAnsiTheme="majorEastAsia" w:eastAsiaTheme="majorEastAsia"/>
          <w:szCs w:val="21"/>
        </w:rPr>
        <w:t>2</w:t>
      </w:r>
      <w:r>
        <w:rPr>
          <w:rFonts w:hint="eastAsia" w:cs="宋体" w:asciiTheme="majorEastAsia" w:hAnsiTheme="majorEastAsia" w:eastAsiaTheme="majorEastAsia"/>
          <w:szCs w:val="21"/>
        </w:rPr>
        <w:t>.</w:t>
      </w:r>
      <w:r>
        <w:rPr>
          <w:rFonts w:cs="宋体" w:asciiTheme="majorEastAsia" w:hAnsiTheme="majorEastAsia" w:eastAsiaTheme="majorEastAsia"/>
          <w:szCs w:val="21"/>
        </w:rPr>
        <w:t>5.4</w:t>
      </w:r>
      <w:r>
        <w:rPr>
          <w:rFonts w:hint="eastAsia" w:cs="宋体" w:asciiTheme="majorEastAsia" w:hAnsiTheme="majorEastAsia" w:eastAsiaTheme="majorEastAsia"/>
          <w:szCs w:val="21"/>
        </w:rPr>
        <w:t>、总价金额与按单价汇总金额不一致的，以单价金额计算结果为准。</w:t>
      </w:r>
    </w:p>
    <w:p w14:paraId="2A1EF851">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同时出现两种以上不一致的，按照以上规定的顺序修正。修正后的报价应当采用书面形式，并加盖公章或者由法定代表人或其委托代理人签字,但不得超出谈判响应文件的范围或者改变谈判响应文件的实质性内容。经谈判响应人确认后产生约束力，谈判响应人不确认的，其谈判响应无效。</w:t>
      </w:r>
    </w:p>
    <w:p w14:paraId="419DAE3B">
      <w:pPr>
        <w:numPr>
          <w:ilvl w:val="0"/>
          <w:numId w:val="1"/>
        </w:numPr>
        <w:spacing w:line="500" w:lineRule="exact"/>
        <w:ind w:firstLine="422" w:firstLineChars="200"/>
        <w:rPr>
          <w:rFonts w:cs="宋体" w:asciiTheme="majorEastAsia" w:hAnsiTheme="majorEastAsia" w:eastAsiaTheme="majorEastAsia"/>
          <w:szCs w:val="21"/>
        </w:rPr>
      </w:pPr>
      <w:r>
        <w:rPr>
          <w:rFonts w:hint="eastAsia" w:cs="宋体" w:asciiTheme="majorEastAsia" w:hAnsiTheme="majorEastAsia" w:eastAsiaTheme="majorEastAsia"/>
          <w:b/>
          <w:szCs w:val="21"/>
        </w:rPr>
        <w:t>谈判响应报价：</w:t>
      </w:r>
      <w:r>
        <w:rPr>
          <w:rFonts w:hint="eastAsia" w:cs="宋体" w:asciiTheme="majorEastAsia" w:hAnsiTheme="majorEastAsia" w:eastAsiaTheme="majorEastAsia"/>
          <w:szCs w:val="21"/>
        </w:rPr>
        <w:t>人民币报价</w:t>
      </w:r>
    </w:p>
    <w:p w14:paraId="3CEF956F">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w:t>
      </w:r>
      <w:r>
        <w:rPr>
          <w:rFonts w:hint="eastAsia" w:asciiTheme="majorEastAsia" w:hAnsiTheme="majorEastAsia" w:eastAsiaTheme="majorEastAsia"/>
          <w:b/>
          <w:bCs/>
          <w:szCs w:val="21"/>
        </w:rPr>
        <w:t>谈判响应无效：</w:t>
      </w:r>
      <w:r>
        <w:rPr>
          <w:rFonts w:hint="eastAsia" w:asciiTheme="majorEastAsia" w:hAnsiTheme="majorEastAsia" w:eastAsiaTheme="majorEastAsia"/>
          <w:szCs w:val="21"/>
        </w:rPr>
        <w:t>有下列情形之一的，视为谈判响应人串通谈判，其</w:t>
      </w:r>
      <w:bookmarkStart w:id="14" w:name="_Hlk176811286"/>
      <w:r>
        <w:rPr>
          <w:rFonts w:hint="eastAsia" w:asciiTheme="majorEastAsia" w:hAnsiTheme="majorEastAsia" w:eastAsiaTheme="majorEastAsia"/>
          <w:szCs w:val="21"/>
        </w:rPr>
        <w:t>谈判响应无效</w:t>
      </w:r>
      <w:bookmarkEnd w:id="14"/>
      <w:r>
        <w:rPr>
          <w:rFonts w:hint="eastAsia" w:asciiTheme="majorEastAsia" w:hAnsiTheme="majorEastAsia" w:eastAsiaTheme="majorEastAsia"/>
          <w:szCs w:val="21"/>
        </w:rPr>
        <w:t>：</w:t>
      </w:r>
    </w:p>
    <w:p w14:paraId="078329A9">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 1、不同谈判响应人的谈判响应文件由同一单位或者个人编制；</w:t>
      </w:r>
    </w:p>
    <w:p w14:paraId="290C8733">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 2、不同谈判响应人委托同一单位或者个人办理谈判响应事宜；</w:t>
      </w:r>
    </w:p>
    <w:p w14:paraId="736B4440">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14．3、不同谈判响应人的谈判响应文件载明的项目管理成员或联系人员为同一人；</w:t>
      </w:r>
    </w:p>
    <w:p w14:paraId="3A7B0C32">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 4、不同谈判响应人的谈判响应文件异常一致或者谈判响应报价呈规律性差异；</w:t>
      </w:r>
    </w:p>
    <w:p w14:paraId="1BB22FC5">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 5、不同谈判响应人的谈判响应文件相互混装；</w:t>
      </w:r>
    </w:p>
    <w:p w14:paraId="0DBB9C7C">
      <w:pPr>
        <w:spacing w:line="500" w:lineRule="exact"/>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14. 6、不同谈判响应人的谈判保证金从同一单位或者个人的账户转出。</w:t>
      </w:r>
    </w:p>
    <w:p w14:paraId="7E794B22">
      <w:pPr>
        <w:spacing w:line="500" w:lineRule="exact"/>
        <w:ind w:firstLine="420" w:firstLineChars="200"/>
        <w:rPr>
          <w:rFonts w:cs="宋体" w:asciiTheme="majorEastAsia" w:hAnsiTheme="majorEastAsia" w:eastAsiaTheme="majorEastAsia"/>
          <w:b/>
          <w:szCs w:val="21"/>
        </w:rPr>
      </w:pPr>
      <w:r>
        <w:rPr>
          <w:rFonts w:hint="eastAsia" w:cs="宋体" w:asciiTheme="majorEastAsia" w:hAnsiTheme="majorEastAsia" w:eastAsiaTheme="majorEastAsia"/>
          <w:szCs w:val="21"/>
        </w:rPr>
        <w:t>15、</w:t>
      </w:r>
      <w:r>
        <w:rPr>
          <w:rFonts w:hint="eastAsia" w:cs="宋体" w:asciiTheme="majorEastAsia" w:hAnsiTheme="majorEastAsia" w:eastAsiaTheme="majorEastAsia"/>
          <w:b/>
          <w:szCs w:val="21"/>
        </w:rPr>
        <w:t>谈判响应人在本项目竞争性谈判过程中有下列行为之一的，成交无效，给采购人造成的损失超过谈判响应保证金数额的，谈判响应人还应对超过部分予以赔偿。构成犯罪的，依法追究刑事责任。</w:t>
      </w:r>
    </w:p>
    <w:p w14:paraId="18DB77B6">
      <w:pPr>
        <w:spacing w:line="500" w:lineRule="exact"/>
        <w:ind w:firstLine="420" w:firstLineChars="200"/>
        <w:jc w:val="left"/>
        <w:rPr>
          <w:rFonts w:cs="宋体" w:asciiTheme="majorEastAsia" w:hAnsiTheme="majorEastAsia" w:eastAsiaTheme="majorEastAsia"/>
        </w:rPr>
      </w:pPr>
      <w:r>
        <w:rPr>
          <w:rFonts w:hint="eastAsia" w:cs="宋体" w:asciiTheme="majorEastAsia" w:hAnsiTheme="majorEastAsia" w:eastAsiaTheme="majorEastAsia"/>
          <w:szCs w:val="21"/>
        </w:rPr>
        <w:t>15.1、</w:t>
      </w:r>
      <w:r>
        <w:rPr>
          <w:rFonts w:hint="eastAsia" w:cs="宋体" w:asciiTheme="majorEastAsia" w:hAnsiTheme="majorEastAsia" w:eastAsiaTheme="majorEastAsia"/>
        </w:rPr>
        <w:t>成交后无正当理由不与采购单位签订合同的；</w:t>
      </w:r>
    </w:p>
    <w:p w14:paraId="2372A993">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15.2、在签订合同时向采购人提出附加条件</w:t>
      </w:r>
    </w:p>
    <w:p w14:paraId="6A30F686">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15.3、将成交项目转让给他人、或在谈判响应文件中未说明，将成交项目分包给他人的；</w:t>
      </w:r>
    </w:p>
    <w:p w14:paraId="4D6FCE3B">
      <w:pPr>
        <w:spacing w:line="500" w:lineRule="exact"/>
        <w:ind w:firstLine="420" w:firstLineChars="200"/>
        <w:rPr>
          <w:rFonts w:cs="宋体" w:asciiTheme="majorEastAsia" w:hAnsiTheme="majorEastAsia" w:eastAsiaTheme="majorEastAsia"/>
        </w:rPr>
      </w:pPr>
      <w:r>
        <w:rPr>
          <w:rFonts w:hint="eastAsia" w:cs="宋体" w:asciiTheme="majorEastAsia" w:hAnsiTheme="majorEastAsia" w:eastAsiaTheme="majorEastAsia"/>
          <w:szCs w:val="21"/>
        </w:rPr>
        <w:t>15.4、谈判响应人相互串通或者与采购人串通的；</w:t>
      </w:r>
    </w:p>
    <w:p w14:paraId="5713047F">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15.5、谈判响应人以向采购人或者谈判小组成员行贿的手段谋取成交的；</w:t>
      </w:r>
    </w:p>
    <w:p w14:paraId="5EFA8285">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15.6、谈判响应人以他人名义谈判响应或者以其他方式弄虚作假，骗取成交的；</w:t>
      </w:r>
    </w:p>
    <w:p w14:paraId="45448C32">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15.7、违法与采购人就价格、方案等实质性内容进行谈判，影响成交结果的；</w:t>
      </w:r>
    </w:p>
    <w:p w14:paraId="5C0EF741">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15.8、法律、法规规定及竞争性谈判文件约定的其他情形。</w:t>
      </w:r>
    </w:p>
    <w:p w14:paraId="768596BF">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16、谈判响应有效期</w:t>
      </w:r>
    </w:p>
    <w:p w14:paraId="106D45B4">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16.1、谈判响应有效期见“谈判响应人须知前附表”的约定。</w:t>
      </w:r>
    </w:p>
    <w:p w14:paraId="4A357307">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16.2、在谈判响应有效期内，谈判响应人不得要求撤销或修改其谈判响应文件。</w:t>
      </w:r>
    </w:p>
    <w:p w14:paraId="2120C9D2">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16.3、在特殊情况下，采购单位可于原谈判响应有效期满之前，向成交候选人提出延长谈判响应有效期的要求。成交候选人可以拒绝采购单位的这种要求，但是对拒绝延长谈判响应有效期的成交候选人，采购单位有权利拒绝其谈判响应文件。同意延长谈判响应有效期的成交候选人既不能要求也不允许修改竞争性谈判文件和其谈判响应文件所有内容。提出谈判响应有效期的延长要求和成交候选人对该要求的答复均采用书面形式。</w:t>
      </w:r>
    </w:p>
    <w:p w14:paraId="7A7E099C">
      <w:pPr>
        <w:pStyle w:val="11"/>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17、谈判响应文件的签署</w:t>
      </w:r>
    </w:p>
    <w:p w14:paraId="02075408">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17.1、谈判响应人应按竞争性谈判文件约定的格式，编制并提交谈判响应文件。</w:t>
      </w:r>
    </w:p>
    <w:p w14:paraId="7FAA6936">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17.2、谈判响应文件应由谈判响应人的法定代表人或委托代理人</w:t>
      </w:r>
      <w:r>
        <w:rPr>
          <w:rFonts w:hint="eastAsia" w:cs="宋体" w:asciiTheme="majorEastAsia" w:hAnsiTheme="majorEastAsia" w:eastAsiaTheme="majorEastAsia"/>
          <w:b/>
          <w:bCs/>
          <w:szCs w:val="21"/>
        </w:rPr>
        <w:t>签字或盖章</w:t>
      </w:r>
      <w:r>
        <w:rPr>
          <w:rFonts w:hint="eastAsia" w:cs="宋体" w:asciiTheme="majorEastAsia" w:hAnsiTheme="majorEastAsia" w:eastAsiaTheme="majorEastAsia"/>
          <w:szCs w:val="21"/>
        </w:rPr>
        <w:t>，并加盖谈判响应人公章。委托代理人须将法定代表人出具的“法定代表人授权委托书”及其身份证复印件附在谈判响应文件中。</w:t>
      </w:r>
    </w:p>
    <w:p w14:paraId="160E1B46">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17.3、谈判响应文件不得行间插字、涂改或增删。</w:t>
      </w:r>
    </w:p>
    <w:p w14:paraId="32CEC1A7">
      <w:pPr>
        <w:spacing w:line="500" w:lineRule="exact"/>
        <w:ind w:firstLine="420" w:firstLineChars="200"/>
        <w:jc w:val="left"/>
        <w:rPr>
          <w:rFonts w:cs="宋体" w:asciiTheme="majorEastAsia" w:hAnsiTheme="majorEastAsia" w:eastAsiaTheme="majorEastAsia"/>
          <w:b/>
          <w:bCs/>
          <w:szCs w:val="21"/>
        </w:rPr>
      </w:pPr>
      <w:bookmarkStart w:id="15" w:name="_Toc25319"/>
      <w:bookmarkStart w:id="16" w:name="_Toc522523983"/>
      <w:r>
        <w:rPr>
          <w:rFonts w:hint="eastAsia" w:cs="宋体" w:asciiTheme="majorEastAsia" w:hAnsiTheme="majorEastAsia" w:eastAsiaTheme="majorEastAsia"/>
          <w:szCs w:val="21"/>
        </w:rPr>
        <w:t>17.4、</w:t>
      </w:r>
      <w:r>
        <w:rPr>
          <w:rFonts w:hint="eastAsia" w:cs="宋体" w:asciiTheme="majorEastAsia" w:hAnsiTheme="majorEastAsia" w:eastAsiaTheme="majorEastAsia"/>
          <w:b/>
        </w:rPr>
        <w:t>谈判响应文件封面、谈判响应函、服务报价表、服务内容及质量要求响应表均应加盖谈判响应人公章并经法定代表人或委托代理人签字或盖章。</w:t>
      </w:r>
      <w:r>
        <w:rPr>
          <w:rFonts w:hint="eastAsia" w:cs="宋体" w:asciiTheme="majorEastAsia" w:hAnsiTheme="majorEastAsia" w:eastAsiaTheme="majorEastAsia"/>
        </w:rPr>
        <w:t>由委托代理人现场参加谈判活动的在谈判响应文件中须同时提交法定代表人授权委托书。</w:t>
      </w:r>
      <w:r>
        <w:rPr>
          <w:rFonts w:hint="eastAsia" w:cs="宋体" w:asciiTheme="majorEastAsia" w:hAnsiTheme="majorEastAsia" w:eastAsiaTheme="majorEastAsia"/>
          <w:b/>
          <w:spacing w:val="-2"/>
        </w:rPr>
        <w:t>谈判响应文件封面、谈判响应函及服务报价表</w:t>
      </w:r>
      <w:r>
        <w:rPr>
          <w:rFonts w:hint="eastAsia" w:cs="宋体" w:asciiTheme="majorEastAsia" w:hAnsiTheme="majorEastAsia" w:eastAsiaTheme="majorEastAsia"/>
          <w:b/>
        </w:rPr>
        <w:t>、服务内容及质量要求响应表、法定代表人授权委托书的签字或盖章</w:t>
      </w:r>
      <w:r>
        <w:rPr>
          <w:rFonts w:hint="eastAsia" w:cs="宋体" w:asciiTheme="majorEastAsia" w:hAnsiTheme="majorEastAsia" w:eastAsiaTheme="majorEastAsia"/>
          <w:b/>
          <w:spacing w:val="-2"/>
        </w:rPr>
        <w:t>不符合谈判文件要求的，谈判小组可要求其法定代表人或其委托的委托代理人补齐签字或承诺在签订合同前按照谈判文件要求加盖印章。</w:t>
      </w:r>
    </w:p>
    <w:p w14:paraId="08470C8F">
      <w:pPr>
        <w:pStyle w:val="5"/>
        <w:keepNext w:val="0"/>
        <w:keepLines w:val="0"/>
        <w:numPr>
          <w:ilvl w:val="0"/>
          <w:numId w:val="2"/>
        </w:numPr>
        <w:wordWrap/>
        <w:spacing w:line="500" w:lineRule="exact"/>
        <w:ind w:firstLine="472" w:firstLineChars="196"/>
        <w:rPr>
          <w:rFonts w:cs="宋体" w:asciiTheme="majorEastAsia" w:hAnsiTheme="majorEastAsia" w:eastAsiaTheme="majorEastAsia"/>
        </w:rPr>
      </w:pPr>
      <w:r>
        <w:rPr>
          <w:rFonts w:hint="eastAsia" w:cs="宋体" w:asciiTheme="majorEastAsia" w:hAnsiTheme="majorEastAsia" w:eastAsiaTheme="majorEastAsia"/>
        </w:rPr>
        <w:t>谈判响应文件的提交</w:t>
      </w:r>
      <w:bookmarkEnd w:id="15"/>
      <w:bookmarkEnd w:id="16"/>
    </w:p>
    <w:p w14:paraId="57697CCE">
      <w:pPr>
        <w:spacing w:line="50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18、提交说明</w:t>
      </w:r>
    </w:p>
    <w:p w14:paraId="3A51B8A3">
      <w:pPr>
        <w:spacing w:line="500" w:lineRule="exact"/>
        <w:ind w:firstLine="420" w:firstLineChars="200"/>
        <w:rPr>
          <w:rFonts w:cs="宋体" w:asciiTheme="majorEastAsia" w:hAnsiTheme="majorEastAsia" w:eastAsiaTheme="majorEastAsia"/>
        </w:rPr>
      </w:pPr>
      <w:r>
        <w:rPr>
          <w:rFonts w:hint="eastAsia" w:cs="宋体" w:asciiTheme="majorEastAsia" w:hAnsiTheme="majorEastAsia" w:eastAsiaTheme="majorEastAsia"/>
          <w:szCs w:val="21"/>
        </w:rPr>
        <w:t>18.1、</w:t>
      </w:r>
      <w:r>
        <w:rPr>
          <w:rFonts w:hint="eastAsia" w:cs="宋体" w:asciiTheme="majorEastAsia" w:hAnsiTheme="majorEastAsia" w:eastAsiaTheme="majorEastAsia"/>
        </w:rPr>
        <w:t>响应文件</w:t>
      </w:r>
      <w:r>
        <w:rPr>
          <w:rFonts w:hint="eastAsia" w:ascii="宋体" w:hAnsi="宋体"/>
          <w:szCs w:val="21"/>
        </w:rPr>
        <w:t>应分别</w:t>
      </w:r>
      <w:r>
        <w:rPr>
          <w:rFonts w:hint="eastAsia" w:ascii="宋体" w:hAnsi="宋体"/>
          <w:b/>
          <w:szCs w:val="21"/>
        </w:rPr>
        <w:t>胶印</w:t>
      </w:r>
      <w:r>
        <w:rPr>
          <w:rFonts w:hint="eastAsia" w:ascii="宋体" w:hAnsi="宋体"/>
          <w:szCs w:val="21"/>
        </w:rPr>
        <w:t>装订成册，</w:t>
      </w:r>
      <w:r>
        <w:rPr>
          <w:rFonts w:hint="eastAsia" w:cs="宋体" w:asciiTheme="majorEastAsia" w:hAnsiTheme="majorEastAsia" w:eastAsiaTheme="majorEastAsia"/>
        </w:rPr>
        <w:t>正、副本分开装订，</w:t>
      </w:r>
      <w:r>
        <w:rPr>
          <w:rFonts w:hint="eastAsia" w:ascii="宋体" w:hAnsi="宋体"/>
          <w:szCs w:val="21"/>
        </w:rPr>
        <w:t>并在封面右上角标记“正本”或“副本”字样, 当副本和正本不一致时，以正本为准。</w:t>
      </w:r>
      <w:r>
        <w:rPr>
          <w:rFonts w:hint="eastAsia" w:cs="宋体" w:asciiTheme="majorEastAsia" w:hAnsiTheme="majorEastAsia" w:eastAsiaTheme="majorEastAsia"/>
        </w:rPr>
        <w:t>所有正、副本合并密封。</w:t>
      </w:r>
    </w:p>
    <w:p w14:paraId="055C6418">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18.2、密封袋上应写明：项目名称、谈判响应人名称（加盖谈判响应人公章）。</w:t>
      </w:r>
    </w:p>
    <w:p w14:paraId="264BFBB2">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18.3、未按上述18.1、18.2条规定要求装订、提交、密封和标记的谈判响应文件，将不被接受。</w:t>
      </w:r>
    </w:p>
    <w:p w14:paraId="1F3F81D4">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19、谈判响应截止时间</w:t>
      </w:r>
    </w:p>
    <w:p w14:paraId="66529A6D">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19.1、谈判响应人应在谈判响应人须知前附表中约定的提交响应文件截止时间前将响应文件提交至指定地点。逾期送达或者未按要求送达指定地点的谈判响应文件，采购单位不予受理。</w:t>
      </w:r>
    </w:p>
    <w:p w14:paraId="093B2C6B">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19.2、采购人有权按本须知的约定，通过修改竞争性谈判文件相关条款以延长提交响应文件截止时间。在此情况下，采购人和谈判响应人受提交响应文件截止时间制约的所有权利和义务均应延长至新的提交响应文件截止时间。</w:t>
      </w:r>
    </w:p>
    <w:p w14:paraId="757CF24A">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20、谈判响应文件的修改与撤回</w:t>
      </w:r>
    </w:p>
    <w:p w14:paraId="5722926D">
      <w:pPr>
        <w:spacing w:line="500" w:lineRule="exact"/>
        <w:ind w:firstLine="420" w:firstLineChars="200"/>
        <w:jc w:val="left"/>
        <w:rPr>
          <w:rFonts w:cs="宋体" w:asciiTheme="majorEastAsia" w:hAnsiTheme="majorEastAsia" w:eastAsiaTheme="majorEastAsia"/>
          <w:szCs w:val="21"/>
        </w:rPr>
      </w:pPr>
      <w:bookmarkStart w:id="17" w:name="_Hlk176811864"/>
      <w:r>
        <w:rPr>
          <w:rFonts w:hint="eastAsia" w:cs="宋体" w:asciiTheme="majorEastAsia" w:hAnsiTheme="majorEastAsia" w:eastAsiaTheme="majorEastAsia"/>
          <w:szCs w:val="21"/>
        </w:rPr>
        <w:t>20</w:t>
      </w:r>
      <w:bookmarkEnd w:id="17"/>
      <w:r>
        <w:rPr>
          <w:rFonts w:hint="eastAsia" w:cs="宋体" w:asciiTheme="majorEastAsia" w:hAnsiTheme="majorEastAsia" w:eastAsiaTheme="majorEastAsia"/>
          <w:szCs w:val="21"/>
        </w:rPr>
        <w:t>.1、谈判响应人提交谈判响应文件以后，在约定的提交响应文件截止时间之前，可以撤回已提交的谈判响应文件，补充修改后重新提交。</w:t>
      </w:r>
    </w:p>
    <w:p w14:paraId="3A654139">
      <w:pPr>
        <w:spacing w:line="500" w:lineRule="exact"/>
        <w:ind w:firstLine="420" w:firstLineChars="200"/>
        <w:jc w:val="left"/>
        <w:rPr>
          <w:rFonts w:cs="宋体" w:asciiTheme="majorEastAsia" w:hAnsiTheme="majorEastAsia" w:eastAsiaTheme="majorEastAsia"/>
          <w:szCs w:val="21"/>
        </w:rPr>
      </w:pPr>
      <w:r>
        <w:rPr>
          <w:rFonts w:cs="宋体" w:asciiTheme="majorEastAsia" w:hAnsiTheme="majorEastAsia" w:eastAsiaTheme="majorEastAsia"/>
          <w:szCs w:val="21"/>
        </w:rPr>
        <w:t>20</w:t>
      </w:r>
      <w:r>
        <w:rPr>
          <w:rFonts w:hint="eastAsia" w:cs="宋体" w:asciiTheme="majorEastAsia" w:hAnsiTheme="majorEastAsia" w:eastAsiaTheme="majorEastAsia"/>
          <w:szCs w:val="21"/>
        </w:rPr>
        <w:t>.2、在谈判响应截止时间之后，谈判响应人不得对其谈判响应文件做任何修改。</w:t>
      </w:r>
    </w:p>
    <w:p w14:paraId="274E1A3D">
      <w:pPr>
        <w:spacing w:line="500" w:lineRule="exact"/>
        <w:ind w:firstLine="420" w:firstLineChars="200"/>
        <w:jc w:val="left"/>
        <w:rPr>
          <w:rFonts w:cs="宋体" w:asciiTheme="majorEastAsia" w:hAnsiTheme="majorEastAsia" w:eastAsiaTheme="majorEastAsia"/>
          <w:szCs w:val="21"/>
        </w:rPr>
      </w:pPr>
      <w:r>
        <w:rPr>
          <w:rFonts w:cs="宋体" w:asciiTheme="majorEastAsia" w:hAnsiTheme="majorEastAsia" w:eastAsiaTheme="majorEastAsia"/>
          <w:szCs w:val="21"/>
        </w:rPr>
        <w:t>20</w:t>
      </w:r>
      <w:r>
        <w:rPr>
          <w:rFonts w:hint="eastAsia" w:cs="宋体" w:asciiTheme="majorEastAsia" w:hAnsiTheme="majorEastAsia" w:eastAsiaTheme="majorEastAsia"/>
          <w:szCs w:val="21"/>
        </w:rPr>
        <w:t>.3、在规定的谈判响应有效期内，谈判响应人不得撤回其谈判响应文件。</w:t>
      </w:r>
    </w:p>
    <w:p w14:paraId="6328A7FF">
      <w:pPr>
        <w:pStyle w:val="5"/>
        <w:keepNext w:val="0"/>
        <w:keepLines w:val="0"/>
        <w:wordWrap/>
        <w:spacing w:line="500" w:lineRule="exact"/>
        <w:ind w:firstLine="472" w:firstLineChars="196"/>
        <w:rPr>
          <w:rFonts w:cs="宋体" w:asciiTheme="majorEastAsia" w:hAnsiTheme="majorEastAsia" w:eastAsiaTheme="majorEastAsia"/>
        </w:rPr>
      </w:pPr>
      <w:bookmarkStart w:id="18" w:name="_Toc23598"/>
      <w:bookmarkStart w:id="19" w:name="_Toc522523984"/>
      <w:r>
        <w:rPr>
          <w:rFonts w:hint="eastAsia" w:cs="宋体" w:asciiTheme="majorEastAsia" w:hAnsiTheme="majorEastAsia" w:eastAsiaTheme="majorEastAsia"/>
        </w:rPr>
        <w:t>五、</w:t>
      </w:r>
      <w:bookmarkEnd w:id="18"/>
      <w:r>
        <w:rPr>
          <w:rFonts w:hint="eastAsia" w:cs="宋体" w:asciiTheme="majorEastAsia" w:hAnsiTheme="majorEastAsia" w:eastAsiaTheme="majorEastAsia"/>
        </w:rPr>
        <w:t>谈判程序</w:t>
      </w:r>
      <w:bookmarkEnd w:id="19"/>
    </w:p>
    <w:p w14:paraId="3F93A9B1">
      <w:pPr>
        <w:spacing w:line="500" w:lineRule="exact"/>
        <w:ind w:firstLine="422" w:firstLineChars="200"/>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21、谈判时间和地点：</w:t>
      </w:r>
      <w:r>
        <w:rPr>
          <w:rFonts w:hint="eastAsia" w:cs="宋体" w:asciiTheme="majorEastAsia" w:hAnsiTheme="majorEastAsia" w:eastAsiaTheme="majorEastAsia"/>
          <w:szCs w:val="21"/>
        </w:rPr>
        <w:t>采购单位将在“谈判响应人须知前附表”约定的时间和地点谈判，并邀请监督人员、所有谈判响应人的法定代表人或委托代理人按时参加。</w:t>
      </w:r>
    </w:p>
    <w:p w14:paraId="1FFD36B7">
      <w:pPr>
        <w:spacing w:line="500" w:lineRule="exact"/>
        <w:ind w:firstLine="422" w:firstLineChars="200"/>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22、谈判程序</w:t>
      </w:r>
    </w:p>
    <w:p w14:paraId="639E8529">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22.1、谈判由采购单位代表主持，主持人按下列程序进行：</w:t>
      </w:r>
    </w:p>
    <w:p w14:paraId="77C70A45">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22.1.1、宣布项目名称、介绍参会人员；</w:t>
      </w:r>
    </w:p>
    <w:p w14:paraId="46097F24">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22.1.2、宣布开标纪律；</w:t>
      </w:r>
    </w:p>
    <w:p w14:paraId="2D65471B">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22.1.3、由采购人代表和监督人员查验谈判响应人相关证件资料并宣布查验结果；</w:t>
      </w:r>
    </w:p>
    <w:p w14:paraId="61D91090">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22.1.4、公布谈判响应人名单；</w:t>
      </w:r>
    </w:p>
    <w:p w14:paraId="5DBA0251">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22.1.5、由各谈判响应人互相检查谈判响应文件的密封情况，并确认谈判响应人是否存在异议； </w:t>
      </w:r>
    </w:p>
    <w:p w14:paraId="09F7D3C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22.1.6、谈判响应人代表、采购人代表、监督人员、记录人等有关人员在开标记录表上签字确认；</w:t>
      </w:r>
      <w:r>
        <w:rPr>
          <w:rFonts w:hint="eastAsia" w:cs="宋体" w:asciiTheme="majorEastAsia" w:hAnsiTheme="majorEastAsia" w:eastAsiaTheme="majorEastAsia"/>
          <w:szCs w:val="21"/>
        </w:rPr>
        <w:cr/>
      </w:r>
      <w:r>
        <w:rPr>
          <w:rFonts w:hint="eastAsia" w:cs="宋体" w:asciiTheme="majorEastAsia" w:hAnsiTheme="majorEastAsia" w:eastAsiaTheme="majorEastAsia"/>
          <w:szCs w:val="21"/>
        </w:rPr>
        <w:t xml:space="preserve">    22.1.7、暂时休会，进入评审阶段；</w:t>
      </w:r>
    </w:p>
    <w:p w14:paraId="24BBD14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22.1.8、谈判小组与各个谈判响应人进行谈判；</w:t>
      </w:r>
    </w:p>
    <w:p w14:paraId="6E91B07B">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22.1.9、各个谈判响应人进行最终报价；</w:t>
      </w:r>
    </w:p>
    <w:p w14:paraId="1EA286DA">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22.1.10、复会，宣布评审结果。</w:t>
      </w:r>
    </w:p>
    <w:p w14:paraId="108BFC8D">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22.2、查验证件</w:t>
      </w:r>
    </w:p>
    <w:p w14:paraId="1BD001F7">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22.2.1、采购人审查谈判响应人以下证件的原件，若证件不全或不符合要求，则查验不合格,由谈判小组认定其谈判响应无效。</w:t>
      </w:r>
    </w:p>
    <w:p w14:paraId="7D6BFC95">
      <w:pPr>
        <w:spacing w:line="500" w:lineRule="exact"/>
        <w:ind w:firstLine="422" w:firstLineChars="200"/>
        <w:jc w:val="left"/>
        <w:rPr>
          <w:rFonts w:asciiTheme="majorEastAsia" w:hAnsiTheme="majorEastAsia" w:eastAsiaTheme="majorEastAsia"/>
          <w:b/>
          <w:bCs/>
          <w:szCs w:val="21"/>
        </w:rPr>
      </w:pPr>
      <w:r>
        <w:rPr>
          <w:rFonts w:hint="eastAsia" w:cs="宋体" w:asciiTheme="majorEastAsia" w:hAnsiTheme="majorEastAsia" w:eastAsiaTheme="majorEastAsia"/>
          <w:b/>
          <w:bCs/>
          <w:szCs w:val="21"/>
        </w:rPr>
        <w:t>法定代表人应手持法定代表人身份证明书（或营业执照原件）和有效身份证明文件或委托代理人应手持法定代表人签署的授权委托书和有效身份证明文件。（</w:t>
      </w:r>
      <w:r>
        <w:rPr>
          <w:rFonts w:hint="eastAsia" w:asciiTheme="majorEastAsia" w:hAnsiTheme="majorEastAsia" w:eastAsiaTheme="majorEastAsia"/>
          <w:b/>
          <w:bCs/>
          <w:szCs w:val="21"/>
        </w:rPr>
        <w:t>法定代表人身份证明书、授权委托书格式见附件）</w:t>
      </w:r>
    </w:p>
    <w:p w14:paraId="373046B2">
      <w:pPr>
        <w:spacing w:line="500" w:lineRule="exact"/>
        <w:ind w:firstLine="420" w:firstLineChars="200"/>
        <w:jc w:val="left"/>
        <w:rPr>
          <w:rFonts w:cs="宋体" w:asciiTheme="majorEastAsia" w:hAnsiTheme="majorEastAsia" w:eastAsiaTheme="majorEastAsia"/>
          <w:b/>
          <w:bCs/>
          <w:szCs w:val="21"/>
        </w:rPr>
      </w:pPr>
      <w:r>
        <w:rPr>
          <w:rFonts w:hint="eastAsia" w:cs="宋体" w:asciiTheme="majorEastAsia" w:hAnsiTheme="majorEastAsia" w:eastAsiaTheme="majorEastAsia"/>
          <w:bCs/>
          <w:szCs w:val="21"/>
        </w:rPr>
        <w:t>22.2.2、采购单位审查谈判响应人的谈判响应保证金缴纳情况，以实际到账时间为准（谈判响应保证金实际到账时间在竞争性谈判文件约定时间之后的，谈判响应无效）。</w:t>
      </w:r>
    </w:p>
    <w:p w14:paraId="34D8B07D">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22.3、谈判响应人必须对其谈判响应文件中所有资料的真实性负责。若发现谈判响应人有弄虚作假行为的，谈判响应无效并不予退还其谈判响应保证金，由相关管理部门按照竞争性谈判文件相应条款对其做相应处罚。</w:t>
      </w:r>
    </w:p>
    <w:p w14:paraId="2980139D">
      <w:pPr>
        <w:spacing w:line="500" w:lineRule="exact"/>
        <w:ind w:firstLine="422" w:firstLineChars="200"/>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23、谈判响应文件的有效性</w:t>
      </w:r>
    </w:p>
    <w:p w14:paraId="0FA76B2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23.1、谈判响应文件有下列情形之一的，将不予受理： </w:t>
      </w:r>
    </w:p>
    <w:p w14:paraId="47DEC926">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23.1.1、逾期送达的或者未送达至指定地点的； </w:t>
      </w:r>
    </w:p>
    <w:p w14:paraId="7BB35B0A">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23.1.2、未按竞争性谈判文件要求装订、包装、密封的。</w:t>
      </w:r>
    </w:p>
    <w:p w14:paraId="13C7A12E">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23.2、开标过程中发现有下列情况的，由谈判小组评审后，认定为谈判响应无效：</w:t>
      </w:r>
    </w:p>
    <w:p w14:paraId="3C513C17">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23.2.1、谈判响应人未按要求参加开标会、未按要求出示原件供现场查验或经查验不合格的；</w:t>
      </w:r>
    </w:p>
    <w:p w14:paraId="154A4155">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23.2.2、</w:t>
      </w:r>
      <w:r>
        <w:rPr>
          <w:rFonts w:hint="eastAsia" w:cs="宋体" w:asciiTheme="majorEastAsia" w:hAnsiTheme="majorEastAsia" w:eastAsiaTheme="majorEastAsia"/>
        </w:rPr>
        <w:t>谈判响应文件封面、谈判响应函、服务报价表、服务内容及质量要求响应表情况不</w:t>
      </w:r>
      <w:r>
        <w:rPr>
          <w:rFonts w:hint="eastAsia" w:cs="宋体" w:asciiTheme="majorEastAsia" w:hAnsiTheme="majorEastAsia" w:eastAsiaTheme="majorEastAsia"/>
          <w:szCs w:val="21"/>
        </w:rPr>
        <w:t xml:space="preserve">符合谈判文件要求拒绝补齐签字或拒绝承诺在合同签订前加盖印章的； </w:t>
      </w:r>
    </w:p>
    <w:p w14:paraId="100B740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23.2.4、谈判响应报价高于谈判最高限价的；</w:t>
      </w:r>
    </w:p>
    <w:p w14:paraId="474B363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23.2.5、法律、法规及竞争性谈判文件约定的其他情形。</w:t>
      </w:r>
    </w:p>
    <w:p w14:paraId="6025ECC5">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23.3、谈判响应人存在下列情形之一，经谈判小组评审后，认定为谈判响应无效：</w:t>
      </w:r>
    </w:p>
    <w:p w14:paraId="6F00ABFC">
      <w:pPr>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23.3.1、被责令停业且处于有效期内的；</w:t>
      </w:r>
    </w:p>
    <w:p w14:paraId="724737DC">
      <w:pPr>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23.3.2、财产被接管或冻结可能影响本项目正常实施的；</w:t>
      </w:r>
    </w:p>
    <w:p w14:paraId="7AA04CDC">
      <w:pPr>
        <w:spacing w:line="500" w:lineRule="exact"/>
        <w:ind w:firstLine="420"/>
        <w:jc w:val="left"/>
        <w:rPr>
          <w:rFonts w:cs="宋体" w:asciiTheme="majorEastAsia" w:hAnsiTheme="majorEastAsia" w:eastAsiaTheme="majorEastAsia"/>
          <w:szCs w:val="21"/>
        </w:rPr>
      </w:pPr>
      <w:r>
        <w:rPr>
          <w:rFonts w:hint="eastAsia" w:cs="宋体" w:asciiTheme="majorEastAsia" w:hAnsiTheme="majorEastAsia" w:eastAsiaTheme="majorEastAsia"/>
          <w:szCs w:val="21"/>
        </w:rPr>
        <w:t>23.3.3、法律、法规规定及竞争性谈判文件约定的其他情形。</w:t>
      </w:r>
    </w:p>
    <w:p w14:paraId="4E2CC922">
      <w:pPr>
        <w:pStyle w:val="5"/>
        <w:keepNext w:val="0"/>
        <w:keepLines w:val="0"/>
        <w:wordWrap/>
        <w:spacing w:line="500" w:lineRule="exact"/>
        <w:ind w:firstLine="472" w:firstLineChars="196"/>
        <w:rPr>
          <w:rFonts w:cs="宋体" w:asciiTheme="majorEastAsia" w:hAnsiTheme="majorEastAsia" w:eastAsiaTheme="majorEastAsia"/>
        </w:rPr>
      </w:pPr>
      <w:bookmarkStart w:id="20" w:name="_Toc28310"/>
      <w:bookmarkStart w:id="21" w:name="_Toc522523985"/>
      <w:r>
        <w:rPr>
          <w:rFonts w:hint="eastAsia" w:cs="宋体" w:asciiTheme="majorEastAsia" w:hAnsiTheme="majorEastAsia" w:eastAsiaTheme="majorEastAsia"/>
        </w:rPr>
        <w:t>六、</w:t>
      </w:r>
      <w:bookmarkEnd w:id="20"/>
      <w:r>
        <w:rPr>
          <w:rFonts w:hint="eastAsia" w:cs="宋体" w:asciiTheme="majorEastAsia" w:hAnsiTheme="majorEastAsia" w:eastAsiaTheme="majorEastAsia"/>
        </w:rPr>
        <w:t>谈判</w:t>
      </w:r>
      <w:bookmarkEnd w:id="21"/>
    </w:p>
    <w:p w14:paraId="79D625FB">
      <w:pPr>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b/>
          <w:bCs/>
          <w:szCs w:val="21"/>
        </w:rPr>
        <w:t xml:space="preserve">    24、谈判小组</w:t>
      </w:r>
      <w:r>
        <w:rPr>
          <w:rFonts w:hint="eastAsia" w:cs="宋体" w:asciiTheme="majorEastAsia" w:hAnsiTheme="majorEastAsia" w:eastAsiaTheme="majorEastAsia"/>
          <w:szCs w:val="21"/>
        </w:rPr>
        <w:t>：谈判小组依法组建，评审由谈判小组进行，谈判小组应坚持公正、公平、诚实守信、实事求是、独立评审的原则。</w:t>
      </w:r>
    </w:p>
    <w:p w14:paraId="7601A275">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25、评审方法：</w:t>
      </w:r>
      <w:r>
        <w:rPr>
          <w:rFonts w:hint="eastAsia" w:cs="宋体" w:asciiTheme="majorEastAsia" w:hAnsiTheme="majorEastAsia" w:eastAsiaTheme="majorEastAsia"/>
          <w:szCs w:val="21"/>
        </w:rPr>
        <w:t>本次谈判采用符合性评审的有效最低价评审方法。</w:t>
      </w:r>
    </w:p>
    <w:p w14:paraId="6EF4E945">
      <w:pPr>
        <w:spacing w:line="500" w:lineRule="exact"/>
        <w:ind w:firstLine="422" w:firstLineChars="20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26、评审程序</w:t>
      </w:r>
      <w:r>
        <w:rPr>
          <w:rFonts w:hint="eastAsia" w:cs="宋体" w:asciiTheme="majorEastAsia" w:hAnsiTheme="majorEastAsia" w:eastAsiaTheme="majorEastAsia"/>
          <w:szCs w:val="21"/>
        </w:rPr>
        <w:t>：评审按照谈判响应文件符合性审查、报价评审、澄清有关问题、失信核查和确定成交候选人排序进行评审。</w:t>
      </w:r>
      <w:r>
        <w:rPr>
          <w:rFonts w:hint="eastAsia" w:cs="宋体" w:asciiTheme="majorEastAsia" w:hAnsiTheme="majorEastAsia" w:eastAsiaTheme="majorEastAsia"/>
          <w:b/>
          <w:bCs/>
          <w:szCs w:val="21"/>
        </w:rPr>
        <w:t>如有任一项未通过的则不进入下一项评审。</w:t>
      </w:r>
    </w:p>
    <w:p w14:paraId="2096FDB5">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26.1、谈判响应文件符合性审查，包括但不限于以下内容：</w:t>
      </w:r>
    </w:p>
    <w:p w14:paraId="017ADBC4">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26.1.1、谈判响应人资格是否符合竞争性谈判文件要求；</w:t>
      </w:r>
    </w:p>
    <w:p w14:paraId="4ED6EC3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26.1.2、谈判响应文件是否按竞争性谈判文件的要求进行编制、盖章、装订和标记；</w:t>
      </w:r>
    </w:p>
    <w:p w14:paraId="2A9FED9B">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26.1.3、竞争性谈判文件要求提交的各种资格证明文件是否真实、完整、合法、有效；</w:t>
      </w:r>
    </w:p>
    <w:p w14:paraId="1521F199">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26.1.4、所提供的服务是否有缺少；</w:t>
      </w:r>
    </w:p>
    <w:p w14:paraId="406C4615">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26.1.5、谈判响应的服务内容及质量要求是否完全响应或优于竞争性谈判文件要求；</w:t>
      </w:r>
    </w:p>
    <w:p w14:paraId="085634FC">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26.1.6、谈判响应文件对法律、法规和竞争性谈判文件其他明确要求的符合性；</w:t>
      </w:r>
    </w:p>
    <w:p w14:paraId="322352E4">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26.1.7、服务方案是否完整、可行且完全响应或优于竞争性谈判文件要求；</w:t>
      </w:r>
    </w:p>
    <w:p w14:paraId="190D7E1C">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26.1.8、谈判响应文件未附有采购人不能接受的条件；</w:t>
      </w:r>
    </w:p>
    <w:p w14:paraId="5F282B9F">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26.1.9、谈判响应文件是否存在竞争性谈判文件中约定的无效谈判响应文件的其他情形。</w:t>
      </w:r>
    </w:p>
    <w:p w14:paraId="42DCDBAD">
      <w:pPr>
        <w:spacing w:line="500" w:lineRule="exact"/>
        <w:ind w:firstLine="420" w:firstLineChars="200"/>
        <w:jc w:val="left"/>
        <w:rPr>
          <w:rFonts w:cs="宋体" w:asciiTheme="majorEastAsia" w:hAnsiTheme="majorEastAsia" w:eastAsiaTheme="majorEastAsia"/>
          <w:b/>
          <w:szCs w:val="21"/>
        </w:rPr>
      </w:pPr>
      <w:r>
        <w:rPr>
          <w:rFonts w:hint="eastAsia" w:cs="宋体" w:asciiTheme="majorEastAsia" w:hAnsiTheme="majorEastAsia" w:eastAsiaTheme="majorEastAsia"/>
          <w:szCs w:val="21"/>
        </w:rPr>
        <w:t>26.2、</w:t>
      </w:r>
      <w:r>
        <w:rPr>
          <w:rFonts w:hint="eastAsia" w:cs="宋体" w:asciiTheme="majorEastAsia" w:hAnsiTheme="majorEastAsia" w:eastAsiaTheme="majorEastAsia"/>
          <w:b/>
          <w:szCs w:val="21"/>
        </w:rPr>
        <w:t>谈判文件所有要求提供复印件或影印件的，若在谈判响应文件中未提供响应复印件或影印件，由成交人在签订合同前提交给采购人，否则视为成交人自动放弃成交资格。</w:t>
      </w:r>
    </w:p>
    <w:p w14:paraId="5FA58AE3">
      <w:pPr>
        <w:spacing w:line="500" w:lineRule="exact"/>
        <w:ind w:firstLine="422" w:firstLineChars="200"/>
        <w:jc w:val="left"/>
        <w:rPr>
          <w:rFonts w:cs="宋体" w:asciiTheme="majorEastAsia" w:hAnsiTheme="majorEastAsia" w:eastAsiaTheme="majorEastAsia"/>
          <w:b/>
          <w:szCs w:val="21"/>
        </w:rPr>
      </w:pPr>
      <w:r>
        <w:rPr>
          <w:rFonts w:hint="eastAsia" w:cs="宋体" w:asciiTheme="majorEastAsia" w:hAnsiTheme="majorEastAsia" w:eastAsiaTheme="majorEastAsia"/>
          <w:b/>
          <w:szCs w:val="21"/>
        </w:rPr>
        <w:t>26.3、谈判响应人须对提供资料、发票等证明材料的真实性负责，若所提供的资料为虚假的，视为虚假响应。</w:t>
      </w:r>
    </w:p>
    <w:p w14:paraId="75780661">
      <w:pPr>
        <w:spacing w:line="500" w:lineRule="exact"/>
        <w:ind w:firstLine="420" w:firstLineChars="200"/>
        <w:jc w:val="left"/>
        <w:rPr>
          <w:rFonts w:cs="宋体" w:asciiTheme="majorEastAsia" w:hAnsiTheme="majorEastAsia" w:eastAsiaTheme="majorEastAsia"/>
          <w:b/>
          <w:szCs w:val="21"/>
        </w:rPr>
      </w:pPr>
      <w:r>
        <w:rPr>
          <w:rFonts w:hint="eastAsia" w:cs="宋体" w:asciiTheme="majorEastAsia" w:hAnsiTheme="majorEastAsia" w:eastAsiaTheme="majorEastAsia"/>
          <w:szCs w:val="21"/>
        </w:rPr>
        <w:t>26.4、报价评审：谈判响应报价不得超过谈判最高限价，否则报价评审不通过。</w:t>
      </w:r>
    </w:p>
    <w:p w14:paraId="108285A9">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26.5、谈判小组发现谈判响应人的报价或某些分项报价明显不合理或者低于成本，有可能影响商品质量和不能诚信履约的，应当要求其在30分钟内提供书面文件予以解释说明，并提交相关证明材料；否则，谈判小组可以取消该谈判响应人的成交候选资格，按顺序由排在后面的成交候选人递补，依次类推。</w:t>
      </w:r>
    </w:p>
    <w:p w14:paraId="53965721">
      <w:pPr>
        <w:spacing w:line="500" w:lineRule="exact"/>
        <w:ind w:firstLine="405"/>
        <w:jc w:val="left"/>
        <w:rPr>
          <w:rFonts w:asciiTheme="majorEastAsia" w:hAnsiTheme="majorEastAsia" w:eastAsiaTheme="majorEastAsia"/>
          <w:b/>
          <w:szCs w:val="21"/>
        </w:rPr>
      </w:pPr>
      <w:r>
        <w:rPr>
          <w:rFonts w:hint="eastAsia" w:asciiTheme="majorEastAsia" w:hAnsiTheme="majorEastAsia" w:eastAsiaTheme="majorEastAsia"/>
          <w:b/>
          <w:szCs w:val="21"/>
        </w:rPr>
        <w:t>所有谈判响应人响应报价与公布的预算价（或最高限价)相比降幅过小，或所有谈判响应人响应报价明显缺乏竞争性的，谈判小组可以否决所有谈判响应文件。</w:t>
      </w:r>
    </w:p>
    <w:p w14:paraId="4DDE0A01">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26.6、澄清有关问题：在评审期间，谈判小组有权以书面方式要求谈判响应人对其谈判响应文件中含义不明确、对同类问题表述不一致或者有明显文字和计算错误的内容作必要的澄清、说明或补正。谈判响应人澄清、说明或补正应在谈判小组规定的时间内以书面方式进行，并不得超出谈判响应文件范围或者改变谈判响应文件的实质性内容。澄清文件将作为谈判响应文件内容的一部分。</w:t>
      </w:r>
    </w:p>
    <w:p w14:paraId="499A758D">
      <w:pPr>
        <w:spacing w:line="50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26.7、谈判。谈判小组与通过谈判响应文件符合性审查和报价评审的谈判响应人，就报价、服务方案和谈判小组提出的其他要求进行谈判。</w:t>
      </w:r>
    </w:p>
    <w:p w14:paraId="56AAB77C">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26.7.1、</w:t>
      </w:r>
      <w:r>
        <w:rPr>
          <w:rFonts w:hint="eastAsia" w:cs="宋体" w:asciiTheme="majorEastAsia" w:hAnsiTheme="majorEastAsia" w:eastAsiaTheme="majorEastAsia"/>
          <w:b/>
          <w:szCs w:val="21"/>
        </w:rPr>
        <w:t>谈判响应人对谈判文件中个别或部分条款或谈判小组提出的要求未作出响应时，需谈判响应人以书面形式向谈判小组提出，且需谈判小组组长签字确认。未对谈判文件中个别或部分条款或谈判小组提出的要求作出实质性响应的报价，有可能被拒绝</w:t>
      </w:r>
      <w:r>
        <w:rPr>
          <w:rFonts w:hint="eastAsia" w:cs="宋体" w:asciiTheme="majorEastAsia" w:hAnsiTheme="majorEastAsia" w:eastAsiaTheme="majorEastAsia"/>
          <w:szCs w:val="21"/>
        </w:rPr>
        <w:t>。</w:t>
      </w:r>
    </w:p>
    <w:p w14:paraId="1FC86B7A">
      <w:pPr>
        <w:widowControl/>
        <w:spacing w:line="360" w:lineRule="auto"/>
        <w:ind w:firstLine="420" w:firstLineChars="200"/>
        <w:jc w:val="left"/>
      </w:pPr>
      <w:r>
        <w:rPr>
          <w:rFonts w:hint="eastAsia" w:cs="宋体" w:asciiTheme="majorEastAsia" w:hAnsiTheme="majorEastAsia" w:eastAsiaTheme="majorEastAsia"/>
          <w:szCs w:val="21"/>
        </w:rPr>
        <w:t>26.7.2</w:t>
      </w:r>
      <w:r>
        <w:rPr>
          <w:rFonts w:hint="eastAsia" w:ascii="宋体" w:hAnsi="宋体" w:cs="宋体"/>
          <w:b/>
          <w:szCs w:val="21"/>
        </w:rPr>
        <w:t>在谈判内容不做实质性变更或重大调整的前提下，谈判响应人下轮报价不得高于上一轮报价,否则按废标处理。</w:t>
      </w:r>
    </w:p>
    <w:p w14:paraId="3E738DB9">
      <w:pPr>
        <w:spacing w:line="500" w:lineRule="exact"/>
        <w:ind w:firstLine="420"/>
        <w:jc w:val="left"/>
        <w:rPr>
          <w:rFonts w:cs="宋体" w:asciiTheme="majorEastAsia" w:hAnsiTheme="majorEastAsia" w:eastAsiaTheme="majorEastAsia"/>
          <w:szCs w:val="21"/>
        </w:rPr>
      </w:pPr>
      <w:r>
        <w:rPr>
          <w:rFonts w:hint="eastAsia" w:cs="宋体" w:asciiTheme="majorEastAsia" w:hAnsiTheme="majorEastAsia" w:eastAsiaTheme="majorEastAsia"/>
          <w:szCs w:val="21"/>
        </w:rPr>
        <w:t>26.8、失信核查</w:t>
      </w:r>
    </w:p>
    <w:p w14:paraId="261DE898">
      <w:pPr>
        <w:spacing w:line="500" w:lineRule="exact"/>
        <w:ind w:firstLine="420"/>
        <w:jc w:val="left"/>
        <w:rPr>
          <w:rFonts w:cs="宋体" w:asciiTheme="majorEastAsia" w:hAnsiTheme="majorEastAsia" w:eastAsiaTheme="majorEastAsia"/>
          <w:szCs w:val="21"/>
        </w:rPr>
      </w:pPr>
      <w:r>
        <w:rPr>
          <w:rFonts w:hint="eastAsia" w:cs="宋体" w:asciiTheme="majorEastAsia" w:hAnsiTheme="majorEastAsia" w:eastAsiaTheme="majorEastAsia"/>
          <w:szCs w:val="21"/>
        </w:rPr>
        <w:t>谈判小组对排序前三名的谈判响应人是否被列入“信用中国、中国政府采购网”政府采购严重违法失信名单进行网上核查（网址：</w:t>
      </w:r>
      <w:r>
        <w:fldChar w:fldCharType="begin"/>
      </w:r>
      <w:r>
        <w:instrText xml:space="preserve"> HYPERLINK "http://www.creditchina.gov.cn/" </w:instrText>
      </w:r>
      <w:r>
        <w:fldChar w:fldCharType="separate"/>
      </w:r>
      <w:r>
        <w:rPr>
          <w:rStyle w:val="29"/>
          <w:rFonts w:hint="eastAsia" w:cs="宋体" w:asciiTheme="majorEastAsia" w:hAnsiTheme="majorEastAsia" w:eastAsiaTheme="majorEastAsia"/>
          <w:color w:val="auto"/>
          <w:szCs w:val="21"/>
        </w:rPr>
        <w:t>http://www.creditchina.gov.cn/</w:t>
      </w:r>
      <w:r>
        <w:rPr>
          <w:rStyle w:val="29"/>
          <w:rFonts w:hint="eastAsia" w:cs="宋体" w:asciiTheme="majorEastAsia" w:hAnsiTheme="majorEastAsia" w:eastAsiaTheme="majorEastAsia"/>
          <w:color w:val="auto"/>
          <w:szCs w:val="21"/>
        </w:rPr>
        <w:fldChar w:fldCharType="end"/>
      </w:r>
      <w:r>
        <w:rPr>
          <w:rFonts w:hint="eastAsia" w:cs="宋体" w:asciiTheme="majorEastAsia" w:hAnsiTheme="majorEastAsia" w:eastAsiaTheme="majorEastAsia"/>
          <w:szCs w:val="21"/>
        </w:rPr>
        <w:t>、</w:t>
      </w:r>
      <w:r>
        <w:fldChar w:fldCharType="begin"/>
      </w:r>
      <w:r>
        <w:instrText xml:space="preserve"> HYPERLINK "http://www.ccgp.gov.cn/），若核查存在政府采购严重违法失信名单记录的投标人，评标委员会不得将其推荐为中标候选人，依序递补，并再次对递补的投标人进行核查。" </w:instrText>
      </w:r>
      <w:r>
        <w:fldChar w:fldCharType="separate"/>
      </w:r>
      <w:r>
        <w:rPr>
          <w:rStyle w:val="29"/>
          <w:rFonts w:hint="eastAsia" w:cs="宋体" w:asciiTheme="majorEastAsia" w:hAnsiTheme="majorEastAsia" w:eastAsiaTheme="majorEastAsia"/>
          <w:color w:val="auto"/>
          <w:szCs w:val="21"/>
        </w:rPr>
        <w:t>http://www.ccgp.gov.cn/），</w:t>
      </w:r>
      <w:r>
        <w:rPr>
          <w:rStyle w:val="29"/>
          <w:rFonts w:hint="eastAsia" w:cs="宋体" w:asciiTheme="majorEastAsia" w:hAnsiTheme="majorEastAsia" w:eastAsiaTheme="majorEastAsia"/>
          <w:color w:val="auto"/>
          <w:szCs w:val="21"/>
          <w:u w:val="none"/>
        </w:rPr>
        <w:t>若核查存在政府采购严重违法失信名单记录的谈判响应人，谈判小组不得将其推荐为成交候选人，依序递补，并再次对递补的谈判响应人进行核查。</w:t>
      </w:r>
      <w:r>
        <w:rPr>
          <w:rStyle w:val="29"/>
          <w:rFonts w:hint="eastAsia" w:cs="宋体" w:asciiTheme="majorEastAsia" w:hAnsiTheme="majorEastAsia" w:eastAsiaTheme="majorEastAsia"/>
          <w:color w:val="auto"/>
          <w:szCs w:val="21"/>
          <w:u w:val="none"/>
        </w:rPr>
        <w:fldChar w:fldCharType="end"/>
      </w:r>
    </w:p>
    <w:p w14:paraId="11061E5F">
      <w:pPr>
        <w:spacing w:line="500" w:lineRule="exact"/>
        <w:ind w:firstLine="420"/>
        <w:jc w:val="left"/>
        <w:rPr>
          <w:rFonts w:cs="宋体" w:asciiTheme="majorEastAsia" w:hAnsiTheme="majorEastAsia" w:eastAsiaTheme="majorEastAsia"/>
          <w:szCs w:val="21"/>
        </w:rPr>
      </w:pPr>
      <w:r>
        <w:rPr>
          <w:rFonts w:hint="eastAsia" w:cs="宋体" w:asciiTheme="majorEastAsia" w:hAnsiTheme="majorEastAsia" w:eastAsiaTheme="majorEastAsia"/>
          <w:szCs w:val="21"/>
        </w:rPr>
        <w:t>26.9、确定成交候选人排序：谈判小组对通过谈判响应文件符合性审查、报价评审和失信核查的谈判响应人，根据最终报价由低至高的顺序排列。报价最低的为第一成交候选人，次低的为第二成交候选人，第三低的为第三成交候选人。若出现两家或两家以上</w:t>
      </w:r>
      <w:r>
        <w:rPr>
          <w:rFonts w:hint="eastAsia" w:cs="宋体" w:asciiTheme="majorEastAsia" w:hAnsiTheme="majorEastAsia" w:eastAsiaTheme="majorEastAsia"/>
          <w:b/>
          <w:bCs/>
          <w:szCs w:val="21"/>
        </w:rPr>
        <w:t>最终</w:t>
      </w:r>
      <w:r>
        <w:rPr>
          <w:rFonts w:hint="eastAsia" w:cs="宋体" w:asciiTheme="majorEastAsia" w:hAnsiTheme="majorEastAsia" w:eastAsiaTheme="majorEastAsia"/>
          <w:szCs w:val="21"/>
        </w:rPr>
        <w:t>报价最低且相等时，则由采购人采取现场随机抽取的方式确定成交候选人排序。</w:t>
      </w:r>
    </w:p>
    <w:p w14:paraId="60DD4008">
      <w:pPr>
        <w:spacing w:line="500" w:lineRule="exact"/>
        <w:jc w:val="left"/>
        <w:rPr>
          <w:rFonts w:cs="宋体" w:asciiTheme="majorEastAsia" w:hAnsiTheme="majorEastAsia" w:eastAsiaTheme="majorEastAsia"/>
          <w:b/>
          <w:bCs/>
          <w:szCs w:val="21"/>
        </w:rPr>
      </w:pPr>
      <w:r>
        <w:rPr>
          <w:rFonts w:hint="eastAsia" w:cs="宋体" w:asciiTheme="majorEastAsia" w:hAnsiTheme="majorEastAsia" w:eastAsiaTheme="majorEastAsia"/>
          <w:szCs w:val="21"/>
        </w:rPr>
        <w:t xml:space="preserve">    </w:t>
      </w:r>
      <w:r>
        <w:rPr>
          <w:rFonts w:hint="eastAsia" w:cs="宋体" w:asciiTheme="majorEastAsia" w:hAnsiTheme="majorEastAsia" w:eastAsiaTheme="majorEastAsia"/>
          <w:b/>
          <w:bCs/>
          <w:szCs w:val="21"/>
        </w:rPr>
        <w:t>27、</w:t>
      </w:r>
      <w:r>
        <w:rPr>
          <w:rFonts w:hint="eastAsia" w:cs="宋体" w:asciiTheme="majorEastAsia" w:hAnsiTheme="majorEastAsia" w:eastAsiaTheme="majorEastAsia"/>
          <w:b/>
          <w:szCs w:val="21"/>
        </w:rPr>
        <w:t>谈判评审</w:t>
      </w:r>
      <w:r>
        <w:rPr>
          <w:rFonts w:hint="eastAsia" w:cs="宋体" w:asciiTheme="majorEastAsia" w:hAnsiTheme="majorEastAsia" w:eastAsiaTheme="majorEastAsia"/>
          <w:b/>
          <w:bCs/>
          <w:szCs w:val="21"/>
        </w:rPr>
        <w:t>异常情况处理</w:t>
      </w:r>
    </w:p>
    <w:p w14:paraId="3BB1F046">
      <w:pPr>
        <w:topLinePunct/>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26.1、在竞争性谈判采购中，出现下列情况之一的，应予废标，采购单位重新组织采购：</w:t>
      </w:r>
    </w:p>
    <w:p w14:paraId="3099B659">
      <w:pPr>
        <w:topLinePunct/>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26.1.1、符合专业条件的谈判响应人或者对竞争性谈判文件作实质响应的谈判响应人不足三家的；</w:t>
      </w:r>
    </w:p>
    <w:p w14:paraId="5F84BCD8">
      <w:pPr>
        <w:topLinePunct/>
        <w:spacing w:line="500" w:lineRule="exact"/>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26.1.2、出现影响采购公正的违法、违规行为的；</w:t>
      </w:r>
    </w:p>
    <w:p w14:paraId="6DF52A77">
      <w:pPr>
        <w:topLinePunct/>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26.1.3、谈判响应人的总报价均超过了谈判最高限价，采购人不能支付的；</w:t>
      </w:r>
    </w:p>
    <w:p w14:paraId="5EF971E4">
      <w:pPr>
        <w:topLinePunct/>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26.1.4、因重大变故，采购任务取消的。</w:t>
      </w:r>
    </w:p>
    <w:p w14:paraId="1C1021B5">
      <w:pPr>
        <w:spacing w:line="500" w:lineRule="exact"/>
        <w:ind w:firstLine="422" w:firstLineChars="200"/>
        <w:rPr>
          <w:rFonts w:cs="宋体" w:asciiTheme="majorEastAsia" w:hAnsiTheme="majorEastAsia" w:eastAsiaTheme="majorEastAsia"/>
          <w:b/>
          <w:szCs w:val="21"/>
        </w:rPr>
      </w:pPr>
      <w:r>
        <w:rPr>
          <w:rFonts w:hint="eastAsia" w:cs="宋体" w:asciiTheme="majorEastAsia" w:hAnsiTheme="majorEastAsia" w:eastAsiaTheme="majorEastAsia"/>
          <w:b/>
          <w:szCs w:val="21"/>
        </w:rPr>
        <w:t>28、谈判过程的保密性</w:t>
      </w:r>
    </w:p>
    <w:p w14:paraId="78302E4C">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28.1、谈判后，直到授予成交人合同止，凡是与谈判响应文件审查、澄清、评价、比较以及授标建议等评审方面的情况，均不得向谈判响应人或其他无关的人员透露。</w:t>
      </w:r>
    </w:p>
    <w:p w14:paraId="43495F6E">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28.2、在评审过程中，谈判响应人如向谈判小组成员施加任何影响，都将会导致其谈判响应文件被拒绝。   </w:t>
      </w:r>
    </w:p>
    <w:p w14:paraId="1C4CA680">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28.3、成交人确定后，采购单位不对未成交人就评审过程以及未能成交原因做出任何解释。谈判响应人不得向谈判小组组成人员或其他有关人员询问评审过程的情况和要求提供材料。</w:t>
      </w:r>
      <w:bookmarkStart w:id="22" w:name="_Toc15032"/>
      <w:bookmarkStart w:id="23" w:name="_Toc417655921"/>
      <w:bookmarkStart w:id="24" w:name="_Toc418517858"/>
    </w:p>
    <w:p w14:paraId="43B77D4B">
      <w:pPr>
        <w:widowControl/>
        <w:spacing w:line="440" w:lineRule="exact"/>
        <w:jc w:val="left"/>
        <w:rPr>
          <w:rFonts w:cs="宋体" w:asciiTheme="majorEastAsia" w:hAnsiTheme="majorEastAsia" w:eastAsiaTheme="majorEastAsia"/>
          <w:szCs w:val="21"/>
        </w:rPr>
      </w:pPr>
      <w:r>
        <w:rPr>
          <w:rFonts w:hint="eastAsia" w:cs="宋体" w:asciiTheme="majorEastAsia" w:hAnsiTheme="majorEastAsia" w:eastAsiaTheme="majorEastAsia"/>
          <w:b/>
        </w:rPr>
        <w:t xml:space="preserve">   </w:t>
      </w:r>
      <w:r>
        <w:rPr>
          <w:rFonts w:hint="eastAsia" w:cs="宋体" w:asciiTheme="majorEastAsia" w:hAnsiTheme="majorEastAsia" w:eastAsiaTheme="majorEastAsia"/>
          <w:szCs w:val="21"/>
        </w:rPr>
        <w:t>28.4、成交通知书</w:t>
      </w:r>
      <w:bookmarkEnd w:id="22"/>
      <w:bookmarkEnd w:id="23"/>
      <w:bookmarkEnd w:id="24"/>
    </w:p>
    <w:p w14:paraId="08EC8F27">
      <w:pPr>
        <w:spacing w:line="500" w:lineRule="exact"/>
        <w:ind w:firstLine="420"/>
        <w:jc w:val="left"/>
        <w:rPr>
          <w:rFonts w:cs="宋体" w:asciiTheme="majorEastAsia" w:hAnsiTheme="majorEastAsia" w:eastAsiaTheme="majorEastAsia"/>
          <w:szCs w:val="21"/>
        </w:rPr>
      </w:pPr>
      <w:r>
        <w:rPr>
          <w:rFonts w:hint="eastAsia" w:cs="宋体" w:asciiTheme="majorEastAsia" w:hAnsiTheme="majorEastAsia" w:eastAsiaTheme="majorEastAsia"/>
          <w:szCs w:val="21"/>
        </w:rPr>
        <w:t>采购人在评审报告推荐的成交候选人中按顺序确定成交人。采购人将向成交人发出成交通知书，在安庆市中医医院官网上公告成交结果。谈判响应人如有质疑、投诉，必须在成交公告规定的质疑、投诉期内以书面形式向有关机构提出。</w:t>
      </w:r>
    </w:p>
    <w:p w14:paraId="092CE117">
      <w:pPr>
        <w:spacing w:line="500" w:lineRule="exact"/>
        <w:ind w:firstLine="420" w:firstLineChars="200"/>
        <w:jc w:val="left"/>
        <w:rPr>
          <w:rFonts w:cs="宋体" w:asciiTheme="majorEastAsia" w:hAnsiTheme="majorEastAsia" w:eastAsiaTheme="majorEastAsia"/>
          <w:szCs w:val="21"/>
        </w:rPr>
      </w:pPr>
      <w:r>
        <w:rPr>
          <w:rFonts w:hint="eastAsia" w:cs="宋体" w:asciiTheme="majorEastAsia" w:hAnsiTheme="majorEastAsia" w:eastAsiaTheme="majorEastAsia"/>
          <w:szCs w:val="21"/>
        </w:rPr>
        <w:t>28.5、采购人在收到评审报告5个工作日内未按评审报告推荐的成交候选人顺序确定成交人，又不能说明合法理由的，视同按评审报告推荐的顺序确定排名第一的成交候选人为成交人。</w:t>
      </w:r>
    </w:p>
    <w:p w14:paraId="0CC2CB17">
      <w:pPr>
        <w:widowControl/>
        <w:spacing w:line="440" w:lineRule="exact"/>
        <w:jc w:val="left"/>
        <w:rPr>
          <w:rFonts w:cs="宋体" w:asciiTheme="majorEastAsia" w:hAnsiTheme="majorEastAsia" w:eastAsiaTheme="majorEastAsia"/>
          <w:szCs w:val="21"/>
        </w:rPr>
      </w:pPr>
      <w:bookmarkStart w:id="25" w:name="_Toc418517857"/>
      <w:bookmarkStart w:id="26" w:name="_Toc2342"/>
      <w:bookmarkStart w:id="27" w:name="_Toc417655920"/>
      <w:r>
        <w:rPr>
          <w:rFonts w:hint="eastAsia" w:cs="宋体" w:asciiTheme="majorEastAsia" w:hAnsiTheme="majorEastAsia" w:eastAsiaTheme="majorEastAsia"/>
          <w:b/>
          <w:bCs/>
          <w:szCs w:val="20"/>
        </w:rPr>
        <w:t xml:space="preserve">  </w:t>
      </w:r>
      <w:bookmarkEnd w:id="25"/>
      <w:bookmarkEnd w:id="26"/>
      <w:bookmarkEnd w:id="27"/>
      <w:r>
        <w:rPr>
          <w:rFonts w:hint="eastAsia" w:cs="宋体" w:asciiTheme="majorEastAsia" w:hAnsiTheme="majorEastAsia" w:eastAsiaTheme="majorEastAsia"/>
          <w:b/>
          <w:bCs/>
          <w:szCs w:val="20"/>
        </w:rPr>
        <w:t xml:space="preserve"> </w:t>
      </w:r>
      <w:r>
        <w:rPr>
          <w:rFonts w:hint="eastAsia" w:cs="宋体" w:asciiTheme="majorEastAsia" w:hAnsiTheme="majorEastAsia" w:eastAsiaTheme="majorEastAsia"/>
          <w:szCs w:val="21"/>
        </w:rPr>
        <w:t xml:space="preserve"> 28.6、根据相关规定，对成交或成交结果提出质疑的，为成交期限届满之日起七个工作日内以书面形式向采购人提出。</w:t>
      </w:r>
    </w:p>
    <w:p w14:paraId="577FD570">
      <w:pPr>
        <w:spacing w:line="500" w:lineRule="exact"/>
        <w:jc w:val="left"/>
        <w:outlineLvl w:val="2"/>
        <w:rPr>
          <w:rFonts w:cs="宋体" w:asciiTheme="majorEastAsia" w:hAnsiTheme="majorEastAsia" w:eastAsiaTheme="majorEastAsia"/>
          <w:b/>
          <w:bCs/>
          <w:szCs w:val="21"/>
        </w:rPr>
      </w:pPr>
      <w:bookmarkStart w:id="28" w:name="_Toc23509"/>
      <w:r>
        <w:rPr>
          <w:rFonts w:hint="eastAsia" w:cs="宋体" w:asciiTheme="majorEastAsia" w:hAnsiTheme="majorEastAsia" w:eastAsiaTheme="majorEastAsia"/>
          <w:b/>
          <w:bCs/>
          <w:szCs w:val="21"/>
        </w:rPr>
        <w:t xml:space="preserve">    </w:t>
      </w:r>
      <w:bookmarkStart w:id="29" w:name="_Toc522523986"/>
      <w:r>
        <w:rPr>
          <w:rFonts w:hint="eastAsia" w:cs="宋体" w:asciiTheme="majorEastAsia" w:hAnsiTheme="majorEastAsia" w:eastAsiaTheme="majorEastAsia"/>
          <w:b/>
          <w:bCs/>
          <w:szCs w:val="21"/>
        </w:rPr>
        <w:t>七、合同授予</w:t>
      </w:r>
      <w:bookmarkEnd w:id="28"/>
      <w:bookmarkEnd w:id="29"/>
    </w:p>
    <w:p w14:paraId="12141B79">
      <w:pPr>
        <w:spacing w:line="500" w:lineRule="exact"/>
        <w:ind w:firstLine="422" w:firstLineChars="200"/>
        <w:jc w:val="left"/>
        <w:rPr>
          <w:rFonts w:cs="宋体" w:asciiTheme="majorEastAsia" w:hAnsiTheme="majorEastAsia" w:eastAsiaTheme="majorEastAsia"/>
          <w:b/>
          <w:bCs/>
          <w:szCs w:val="21"/>
        </w:rPr>
      </w:pPr>
      <w:r>
        <w:rPr>
          <w:rFonts w:hint="eastAsia" w:cs="宋体" w:asciiTheme="majorEastAsia" w:hAnsiTheme="majorEastAsia" w:eastAsiaTheme="majorEastAsia"/>
          <w:b/>
          <w:bCs/>
          <w:szCs w:val="21"/>
        </w:rPr>
        <w:t>29、</w:t>
      </w:r>
      <w:bookmarkStart w:id="30" w:name="_Toc417655923"/>
      <w:bookmarkStart w:id="31" w:name="_Toc21358"/>
      <w:bookmarkStart w:id="32" w:name="_Toc418517860"/>
      <w:r>
        <w:rPr>
          <w:rFonts w:hint="eastAsia" w:cs="宋体" w:asciiTheme="majorEastAsia" w:hAnsiTheme="majorEastAsia" w:eastAsiaTheme="majorEastAsia"/>
          <w:b/>
          <w:bCs/>
          <w:szCs w:val="21"/>
        </w:rPr>
        <w:t>签订合同</w:t>
      </w:r>
      <w:bookmarkEnd w:id="30"/>
      <w:bookmarkEnd w:id="31"/>
      <w:bookmarkEnd w:id="32"/>
    </w:p>
    <w:p w14:paraId="3C80F842">
      <w:pPr>
        <w:spacing w:line="500" w:lineRule="exact"/>
        <w:ind w:firstLine="405"/>
        <w:jc w:val="left"/>
        <w:rPr>
          <w:rFonts w:cs="宋体" w:asciiTheme="majorEastAsia" w:hAnsiTheme="majorEastAsia" w:eastAsiaTheme="majorEastAsia"/>
          <w:szCs w:val="21"/>
        </w:rPr>
      </w:pPr>
      <w:r>
        <w:rPr>
          <w:rFonts w:hint="eastAsia" w:cs="宋体" w:asciiTheme="majorEastAsia" w:hAnsiTheme="majorEastAsia" w:eastAsiaTheme="majorEastAsia"/>
          <w:szCs w:val="21"/>
        </w:rPr>
        <w:t>29.1、合同价为成交人的最终报价。</w:t>
      </w:r>
    </w:p>
    <w:p w14:paraId="26AAF2CC">
      <w:pPr>
        <w:spacing w:line="500" w:lineRule="exact"/>
        <w:ind w:firstLine="405"/>
        <w:jc w:val="left"/>
        <w:rPr>
          <w:rFonts w:cs="宋体" w:asciiTheme="majorEastAsia" w:hAnsiTheme="majorEastAsia" w:eastAsiaTheme="majorEastAsia"/>
          <w:szCs w:val="21"/>
        </w:rPr>
      </w:pPr>
      <w:r>
        <w:rPr>
          <w:rFonts w:hint="eastAsia" w:cs="宋体" w:asciiTheme="majorEastAsia" w:hAnsiTheme="majorEastAsia" w:eastAsiaTheme="majorEastAsia"/>
          <w:szCs w:val="21"/>
        </w:rPr>
        <w:t>29.2、成交人在收到成交通知书起30日内，与采购人签订服务合同。</w:t>
      </w:r>
    </w:p>
    <w:p w14:paraId="450B673D">
      <w:pPr>
        <w:spacing w:line="500" w:lineRule="exact"/>
        <w:ind w:firstLine="405"/>
        <w:jc w:val="left"/>
        <w:rPr>
          <w:rFonts w:cs="宋体" w:asciiTheme="majorEastAsia" w:hAnsiTheme="majorEastAsia" w:eastAsiaTheme="majorEastAsia"/>
          <w:kern w:val="21"/>
          <w:szCs w:val="21"/>
        </w:rPr>
      </w:pPr>
      <w:r>
        <w:rPr>
          <w:rFonts w:hint="eastAsia" w:cs="宋体" w:asciiTheme="majorEastAsia" w:hAnsiTheme="majorEastAsia" w:eastAsiaTheme="majorEastAsia"/>
          <w:kern w:val="21"/>
          <w:szCs w:val="21"/>
        </w:rPr>
        <w:t>29.3、</w:t>
      </w:r>
      <w:r>
        <w:rPr>
          <w:rFonts w:hint="eastAsia" w:ascii="宋体" w:hAnsi="宋体"/>
          <w:kern w:val="21"/>
          <w:szCs w:val="21"/>
        </w:rPr>
        <w:t>排名第一的成交候选人放弃</w:t>
      </w:r>
      <w:r>
        <w:rPr>
          <w:rFonts w:hint="eastAsia" w:cs="宋体" w:asciiTheme="majorEastAsia" w:hAnsiTheme="majorEastAsia" w:eastAsiaTheme="majorEastAsia"/>
          <w:kern w:val="21"/>
          <w:szCs w:val="21"/>
        </w:rPr>
        <w:t xml:space="preserve">成交、因不可抗力不能履行合同、不按照谈判文件要求提交履约保证金、或者被查实存在影响成交结果的违法行为等情形，不符合成交条件的，采购人可以按照评审报告推荐的成交候选人名单排序依次确定其他成交候选人为成交人，也可以重新开展政府采购活动。 </w:t>
      </w:r>
    </w:p>
    <w:p w14:paraId="7EF906EA">
      <w:pPr>
        <w:pBdr>
          <w:bottom w:val="single" w:color="auto" w:sz="4" w:space="0"/>
        </w:pBdr>
        <w:spacing w:line="500" w:lineRule="exact"/>
        <w:jc w:val="left"/>
        <w:rPr>
          <w:rFonts w:cs="宋体" w:asciiTheme="majorEastAsia" w:hAnsiTheme="majorEastAsia" w:eastAsiaTheme="majorEastAsia"/>
          <w:b/>
          <w:bCs/>
          <w:kern w:val="21"/>
          <w:szCs w:val="21"/>
        </w:rPr>
      </w:pPr>
      <w:r>
        <w:rPr>
          <w:rFonts w:hint="eastAsia" w:cs="宋体" w:asciiTheme="majorEastAsia" w:hAnsiTheme="majorEastAsia" w:eastAsiaTheme="majorEastAsia"/>
          <w:kern w:val="21"/>
          <w:szCs w:val="21"/>
        </w:rPr>
        <w:t xml:space="preserve">   </w:t>
      </w:r>
      <w:r>
        <w:rPr>
          <w:rFonts w:hint="eastAsia" w:cs="宋体" w:asciiTheme="majorEastAsia" w:hAnsiTheme="majorEastAsia" w:eastAsiaTheme="majorEastAsia"/>
          <w:b/>
          <w:bCs/>
          <w:kern w:val="21"/>
          <w:szCs w:val="21"/>
        </w:rPr>
        <w:t>30、未尽事宜</w:t>
      </w:r>
    </w:p>
    <w:p w14:paraId="2A69152C">
      <w:pPr>
        <w:pBdr>
          <w:bottom w:val="single" w:color="auto" w:sz="4" w:space="0"/>
        </w:pBdr>
        <w:spacing w:line="500" w:lineRule="exact"/>
        <w:ind w:firstLine="420"/>
        <w:jc w:val="left"/>
        <w:rPr>
          <w:rFonts w:cs="宋体" w:asciiTheme="majorEastAsia" w:hAnsiTheme="majorEastAsia" w:eastAsiaTheme="majorEastAsia"/>
          <w:kern w:val="21"/>
          <w:szCs w:val="21"/>
        </w:rPr>
      </w:pPr>
      <w:r>
        <w:rPr>
          <w:rFonts w:hint="eastAsia" w:cs="宋体" w:asciiTheme="majorEastAsia" w:hAnsiTheme="majorEastAsia" w:eastAsiaTheme="majorEastAsia"/>
          <w:kern w:val="21"/>
          <w:szCs w:val="21"/>
        </w:rPr>
        <w:t>按《中华人民共和国政府</w:t>
      </w:r>
      <w:bookmarkStart w:id="33" w:name="_Hlk176812699"/>
      <w:r>
        <w:rPr>
          <w:rFonts w:hint="eastAsia" w:cs="宋体" w:asciiTheme="majorEastAsia" w:hAnsiTheme="majorEastAsia" w:eastAsiaTheme="majorEastAsia"/>
          <w:kern w:val="21"/>
          <w:szCs w:val="21"/>
        </w:rPr>
        <w:t>采购法</w:t>
      </w:r>
      <w:bookmarkEnd w:id="33"/>
      <w:r>
        <w:rPr>
          <w:rFonts w:hint="eastAsia" w:cs="宋体" w:asciiTheme="majorEastAsia" w:hAnsiTheme="majorEastAsia" w:eastAsiaTheme="majorEastAsia"/>
          <w:kern w:val="21"/>
          <w:szCs w:val="21"/>
        </w:rPr>
        <w:t>》、《中华人民共和国政府采购法实施条例》及其他有关法律法规规定执行。</w:t>
      </w:r>
    </w:p>
    <w:p w14:paraId="6FA6AEA2">
      <w:pPr>
        <w:spacing w:line="440" w:lineRule="exact"/>
        <w:jc w:val="left"/>
        <w:rPr>
          <w:rFonts w:cs="宋体" w:asciiTheme="majorEastAsia" w:hAnsiTheme="majorEastAsia" w:eastAsiaTheme="majorEastAsia"/>
          <w:kern w:val="21"/>
          <w:szCs w:val="21"/>
        </w:rPr>
      </w:pPr>
      <w:r>
        <w:rPr>
          <w:rFonts w:cs="宋体" w:asciiTheme="majorEastAsia" w:hAnsiTheme="majorEastAsia" w:eastAsiaTheme="majorEastAsia"/>
          <w:kern w:val="21"/>
          <w:szCs w:val="21"/>
        </w:rPr>
        <w:br w:type="page"/>
      </w:r>
    </w:p>
    <w:p w14:paraId="543B2641">
      <w:pPr>
        <w:pStyle w:val="3"/>
        <w:numPr>
          <w:ilvl w:val="0"/>
          <w:numId w:val="3"/>
        </w:numPr>
        <w:spacing w:before="0" w:after="0" w:line="360" w:lineRule="auto"/>
        <w:ind w:firstLine="643" w:firstLineChars="200"/>
        <w:jc w:val="center"/>
      </w:pPr>
      <w:bookmarkStart w:id="34" w:name="_Toc522523987"/>
      <w:bookmarkStart w:id="35" w:name="_Toc18076"/>
      <w:r>
        <w:rPr>
          <w:rFonts w:hint="eastAsia" w:cs="宋体" w:asciiTheme="majorEastAsia" w:hAnsiTheme="majorEastAsia" w:eastAsiaTheme="majorEastAsia"/>
        </w:rPr>
        <w:t>服务需求</w:t>
      </w:r>
      <w:bookmarkEnd w:id="34"/>
      <w:bookmarkEnd w:id="35"/>
    </w:p>
    <w:p w14:paraId="39AB94E5">
      <w:pPr>
        <w:numPr>
          <w:ilvl w:val="0"/>
          <w:numId w:val="4"/>
        </w:numPr>
        <w:spacing w:line="360" w:lineRule="auto"/>
        <w:ind w:firstLine="422" w:firstLineChars="200"/>
        <w:rPr>
          <w:rStyle w:val="57"/>
          <w:rFonts w:hAnsi="宋体"/>
          <w:b/>
          <w:color w:val="auto"/>
          <w:szCs w:val="21"/>
        </w:rPr>
      </w:pPr>
      <w:r>
        <w:rPr>
          <w:rStyle w:val="57"/>
          <w:rFonts w:hint="eastAsia" w:hAnsi="宋体"/>
          <w:b/>
          <w:szCs w:val="21"/>
        </w:rPr>
        <w:t>服</w:t>
      </w:r>
      <w:r>
        <w:rPr>
          <w:rStyle w:val="57"/>
          <w:rFonts w:hint="eastAsia" w:hAnsi="宋体"/>
          <w:b/>
          <w:color w:val="auto"/>
          <w:szCs w:val="21"/>
        </w:rPr>
        <w:t>务内容：</w:t>
      </w:r>
    </w:p>
    <w:p w14:paraId="0C29806B">
      <w:pPr>
        <w:topLinePunct/>
        <w:spacing w:line="360" w:lineRule="auto"/>
        <w:ind w:firstLine="420" w:firstLineChars="200"/>
        <w:rPr>
          <w:rFonts w:hint="eastAsia" w:ascii="宋体" w:hAnsi="宋体"/>
        </w:rPr>
      </w:pPr>
      <w:r>
        <w:rPr>
          <w:rFonts w:hint="eastAsia" w:ascii="宋体" w:hAnsi="宋体"/>
        </w:rPr>
        <w:t>对安庆市中医医院</w:t>
      </w:r>
      <w:bookmarkStart w:id="36" w:name="_Hlk176812903"/>
      <w:r>
        <w:rPr>
          <w:rFonts w:hint="eastAsia" w:ascii="宋体" w:hAnsi="宋体"/>
        </w:rPr>
        <w:t>2021-2023年度财务收支等审计服务供应商采购项目</w:t>
      </w:r>
      <w:bookmarkEnd w:id="36"/>
      <w:r>
        <w:rPr>
          <w:rFonts w:hint="eastAsia" w:ascii="宋体" w:hAnsi="宋体"/>
        </w:rPr>
        <w:t>进行审计、发表意见并出具审计报告。</w:t>
      </w:r>
    </w:p>
    <w:p w14:paraId="127C7088">
      <w:pPr>
        <w:topLinePunct/>
        <w:spacing w:line="360" w:lineRule="auto"/>
        <w:ind w:firstLine="420" w:firstLineChars="200"/>
        <w:rPr>
          <w:rFonts w:hint="eastAsia" w:ascii="宋体" w:hAnsi="宋体"/>
        </w:rPr>
      </w:pPr>
      <w:r>
        <w:rPr>
          <w:rFonts w:hint="eastAsia" w:ascii="宋体" w:hAnsi="宋体"/>
          <w:lang w:val="en-US" w:eastAsia="zh-CN"/>
        </w:rPr>
        <w:t>1.</w:t>
      </w:r>
      <w:r>
        <w:rPr>
          <w:rFonts w:hint="eastAsia" w:ascii="宋体" w:hAnsi="宋体"/>
        </w:rPr>
        <w:t>财务监督管理方面：主要是审计财务收支、国有资产管理、预决算管理及内控制度建立及实际执行等方面是否存在违法违规情况。</w:t>
      </w:r>
    </w:p>
    <w:p w14:paraId="1D74C5C8">
      <w:pPr>
        <w:topLinePunct/>
        <w:spacing w:line="360" w:lineRule="auto"/>
        <w:ind w:firstLine="420" w:firstLineChars="200"/>
        <w:rPr>
          <w:rFonts w:hint="eastAsia" w:ascii="宋体" w:hAnsi="宋体"/>
        </w:rPr>
      </w:pPr>
      <w:r>
        <w:rPr>
          <w:rFonts w:hint="eastAsia" w:ascii="宋体" w:hAnsi="宋体"/>
          <w:lang w:val="en-US" w:eastAsia="zh-CN"/>
        </w:rPr>
        <w:t>2.</w:t>
      </w:r>
      <w:r>
        <w:rPr>
          <w:rFonts w:hint="eastAsia" w:ascii="宋体" w:hAnsi="宋体"/>
        </w:rPr>
        <w:t>“三公”经费方面：主要是审计医院在“三公”经费方面是否存在违法违规问题。</w:t>
      </w:r>
    </w:p>
    <w:p w14:paraId="47C6F075">
      <w:pPr>
        <w:spacing w:line="360" w:lineRule="auto"/>
        <w:ind w:firstLine="422" w:firstLineChars="200"/>
        <w:rPr>
          <w:rStyle w:val="57"/>
          <w:rFonts w:hAnsi="宋体"/>
          <w:b/>
          <w:szCs w:val="21"/>
        </w:rPr>
      </w:pPr>
      <w:r>
        <w:rPr>
          <w:rStyle w:val="57"/>
          <w:rFonts w:hint="eastAsia" w:hAnsi="宋体"/>
          <w:b/>
          <w:szCs w:val="21"/>
        </w:rPr>
        <w:t>二、 服务要求</w:t>
      </w:r>
    </w:p>
    <w:p w14:paraId="57B5B67F">
      <w:pPr>
        <w:topLinePunct/>
        <w:spacing w:line="360" w:lineRule="auto"/>
        <w:ind w:firstLine="420" w:firstLineChars="200"/>
        <w:rPr>
          <w:rFonts w:ascii="宋体" w:hAnsi="宋体"/>
        </w:rPr>
      </w:pPr>
      <w:r>
        <w:rPr>
          <w:rFonts w:hint="eastAsia" w:ascii="宋体" w:hAnsi="宋体"/>
        </w:rPr>
        <w:t>1、成交人的责任是按照中国注册会计师执业准则（以下简称执业准则）的有关规定，在实施审计工作的基础上对采购人2021-2023年度财务收支等审计服务供应商采购项目实施情况发表专项审计意见。</w:t>
      </w:r>
    </w:p>
    <w:p w14:paraId="7A841331">
      <w:pPr>
        <w:topLinePunct/>
        <w:spacing w:line="360" w:lineRule="auto"/>
        <w:ind w:firstLine="420" w:firstLineChars="200"/>
        <w:rPr>
          <w:rFonts w:ascii="宋体" w:hAnsi="宋体"/>
        </w:rPr>
      </w:pPr>
      <w:r>
        <w:rPr>
          <w:rFonts w:hint="eastAsia" w:ascii="宋体" w:hAnsi="宋体"/>
        </w:rPr>
        <w:t>2、按照约定时间完成审计工作，出具审计报告。</w:t>
      </w:r>
    </w:p>
    <w:p w14:paraId="27317E3C">
      <w:pPr>
        <w:topLinePunct/>
        <w:spacing w:line="360" w:lineRule="auto"/>
        <w:ind w:firstLine="420" w:firstLineChars="200"/>
        <w:rPr>
          <w:rFonts w:ascii="宋体" w:hAnsi="宋体"/>
        </w:rPr>
      </w:pPr>
      <w:r>
        <w:rPr>
          <w:rFonts w:hint="eastAsia" w:ascii="宋体" w:hAnsi="宋体"/>
        </w:rPr>
        <w:t>3、除下列情况外，成交人应当对执行业务过程中知悉的采购人信息予以保密：</w:t>
      </w:r>
    </w:p>
    <w:p w14:paraId="7DBAFD54">
      <w:pPr>
        <w:topLinePunct/>
        <w:spacing w:line="360" w:lineRule="auto"/>
        <w:ind w:firstLine="420" w:firstLineChars="200"/>
        <w:rPr>
          <w:rFonts w:ascii="宋体" w:hAnsi="宋体"/>
        </w:rPr>
      </w:pPr>
      <w:r>
        <w:rPr>
          <w:rFonts w:hint="eastAsia" w:ascii="宋体" w:hAnsi="宋体"/>
        </w:rPr>
        <w:t>（l）法律法规允许披露，并取得</w:t>
      </w:r>
      <w:bookmarkStart w:id="37" w:name="_Hlk176812949"/>
      <w:r>
        <w:rPr>
          <w:rFonts w:hint="eastAsia" w:ascii="宋体" w:hAnsi="宋体"/>
        </w:rPr>
        <w:t>采购人</w:t>
      </w:r>
      <w:bookmarkEnd w:id="37"/>
      <w:r>
        <w:rPr>
          <w:rFonts w:hint="eastAsia" w:ascii="宋体" w:hAnsi="宋体"/>
        </w:rPr>
        <w:t>的授权；</w:t>
      </w:r>
    </w:p>
    <w:p w14:paraId="0D349ACA">
      <w:pPr>
        <w:topLinePunct/>
        <w:spacing w:line="360" w:lineRule="auto"/>
        <w:ind w:firstLine="420" w:firstLineChars="200"/>
        <w:rPr>
          <w:rFonts w:ascii="宋体" w:hAnsi="宋体"/>
        </w:rPr>
      </w:pPr>
      <w:r>
        <w:rPr>
          <w:rFonts w:hint="eastAsia" w:ascii="宋体" w:hAnsi="宋体"/>
        </w:rPr>
        <w:t>（2）根据法律法规的规定，为法律诉讼、仲裁准备文件或提供证据，以及向监管机构报告发现的违法行为；</w:t>
      </w:r>
    </w:p>
    <w:p w14:paraId="338CABE9">
      <w:pPr>
        <w:topLinePunct/>
        <w:spacing w:line="360" w:lineRule="auto"/>
        <w:ind w:firstLine="420" w:firstLineChars="200"/>
        <w:rPr>
          <w:rFonts w:ascii="宋体" w:hAnsi="宋体"/>
        </w:rPr>
      </w:pPr>
      <w:r>
        <w:rPr>
          <w:rFonts w:hint="eastAsia" w:ascii="宋体" w:hAnsi="宋体"/>
        </w:rPr>
        <w:t>（3）在法律法规允许的情况下，在法律诉讼、仲裁中维护自己的合法权益；</w:t>
      </w:r>
    </w:p>
    <w:p w14:paraId="3E646087">
      <w:pPr>
        <w:topLinePunct/>
        <w:spacing w:line="360" w:lineRule="auto"/>
        <w:ind w:firstLine="420" w:firstLineChars="200"/>
        <w:rPr>
          <w:rFonts w:ascii="宋体" w:hAnsi="宋体"/>
        </w:rPr>
      </w:pPr>
      <w:r>
        <w:rPr>
          <w:rFonts w:hint="eastAsia" w:ascii="宋体" w:hAnsi="宋体"/>
        </w:rPr>
        <w:t>（4）接受注册会计师协会或监管机构的执业质量检查，答复其询问和调查；</w:t>
      </w:r>
    </w:p>
    <w:p w14:paraId="6DEEAE36">
      <w:pPr>
        <w:spacing w:line="360" w:lineRule="auto"/>
        <w:ind w:firstLine="420" w:firstLineChars="200"/>
        <w:rPr>
          <w:rStyle w:val="57"/>
          <w:rFonts w:hAnsi="宋体"/>
          <w:bCs/>
          <w:szCs w:val="21"/>
        </w:rPr>
      </w:pPr>
      <w:r>
        <w:rPr>
          <w:rStyle w:val="57"/>
          <w:rFonts w:hint="eastAsia" w:hAnsi="宋体"/>
          <w:bCs/>
          <w:szCs w:val="21"/>
        </w:rPr>
        <w:t>（5）法律法规、执业准则和职业道德规范规定的其他情形。</w:t>
      </w:r>
    </w:p>
    <w:p w14:paraId="0CC3827D">
      <w:pPr>
        <w:spacing w:line="360" w:lineRule="auto"/>
        <w:ind w:firstLine="422" w:firstLineChars="200"/>
        <w:rPr>
          <w:rStyle w:val="57"/>
          <w:rFonts w:hAnsi="宋体"/>
          <w:b/>
          <w:szCs w:val="21"/>
        </w:rPr>
      </w:pPr>
      <w:r>
        <w:rPr>
          <w:rStyle w:val="57"/>
          <w:rFonts w:hint="eastAsia" w:hAnsi="宋体"/>
          <w:b/>
          <w:szCs w:val="21"/>
        </w:rPr>
        <w:t xml:space="preserve">三、审计报告和审计报告的使用 </w:t>
      </w:r>
    </w:p>
    <w:p w14:paraId="0746BC19">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1、成交人按照中国注册会计师执业准则规定的格式和类型出具审计报告。 </w:t>
      </w:r>
    </w:p>
    <w:p w14:paraId="70515E0A">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2、成交人向采购人致送审计报告一式</w:t>
      </w:r>
      <w:r>
        <w:rPr>
          <w:rFonts w:hint="eastAsia" w:ascii="宋体" w:hAnsi="宋体" w:cs="宋体"/>
          <w:color w:val="auto"/>
          <w:kern w:val="0"/>
          <w:szCs w:val="21"/>
          <w:u w:val="single"/>
        </w:rPr>
        <w:t>4</w:t>
      </w:r>
      <w:r>
        <w:rPr>
          <w:rFonts w:hint="eastAsia" w:ascii="宋体" w:hAnsi="宋体" w:cs="宋体"/>
          <w:kern w:val="0"/>
          <w:szCs w:val="21"/>
        </w:rPr>
        <w:t>份，</w:t>
      </w:r>
      <w:r>
        <w:rPr>
          <w:rFonts w:hint="eastAsia" w:asciiTheme="majorEastAsia" w:hAnsiTheme="majorEastAsia" w:eastAsiaTheme="majorEastAsia"/>
          <w:spacing w:val="8"/>
          <w:szCs w:val="21"/>
        </w:rPr>
        <w:t>整体报告</w:t>
      </w:r>
      <w:r>
        <w:rPr>
          <w:rFonts w:hint="eastAsia" w:ascii="宋体" w:hAnsi="宋体" w:cs="宋体"/>
          <w:kern w:val="0"/>
          <w:szCs w:val="21"/>
        </w:rPr>
        <w:t>一式</w:t>
      </w:r>
      <w:r>
        <w:rPr>
          <w:rFonts w:hint="eastAsia" w:ascii="宋体" w:hAnsi="宋体" w:cs="宋体"/>
          <w:color w:val="auto"/>
          <w:kern w:val="0"/>
          <w:szCs w:val="21"/>
          <w:u w:val="single"/>
        </w:rPr>
        <w:t>4</w:t>
      </w:r>
      <w:r>
        <w:rPr>
          <w:rFonts w:hint="eastAsia" w:ascii="宋体" w:hAnsi="宋体" w:cs="宋体"/>
          <w:kern w:val="0"/>
          <w:szCs w:val="21"/>
        </w:rPr>
        <w:t>份。</w:t>
      </w:r>
    </w:p>
    <w:p w14:paraId="36D0BFBD">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 xml:space="preserve">3、采购人在提交或对外公布成交人出具的审计报告时，不得对其进行修改。当采购人认为有必要修改会计数据和所作的说明时，应当事先通知成交人，成交人将考虑有关的修改对审计报告的影响，必要时，将重新出具审计报告。 </w:t>
      </w:r>
    </w:p>
    <w:p w14:paraId="2EBCA0CD">
      <w:pPr>
        <w:spacing w:line="360" w:lineRule="auto"/>
        <w:ind w:firstLine="422" w:firstLineChars="200"/>
        <w:rPr>
          <w:rStyle w:val="57"/>
          <w:rFonts w:hAnsi="宋体"/>
          <w:b/>
          <w:szCs w:val="21"/>
        </w:rPr>
      </w:pPr>
      <w:r>
        <w:rPr>
          <w:rStyle w:val="57"/>
          <w:rFonts w:hint="eastAsia" w:hAnsi="宋体"/>
          <w:b/>
          <w:szCs w:val="21"/>
        </w:rPr>
        <w:t>四、其他要求：</w:t>
      </w:r>
    </w:p>
    <w:p w14:paraId="63C117DF">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 xml:space="preserve">、如果出现不可预见的情况，影响审计工作如期完成，或需要提前出具审计报告，采购人和成交人双方均可要求变更约定事项，但应及时通知对方，并由双方协商解决。 </w:t>
      </w:r>
    </w:p>
    <w:p w14:paraId="2D799061">
      <w:pPr>
        <w:widowControl/>
        <w:spacing w:line="360" w:lineRule="auto"/>
        <w:ind w:firstLine="420" w:firstLineChars="200"/>
        <w:jc w:val="left"/>
        <w:rPr>
          <w:rFonts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.至少提供2021年元月1日以来服务医疗机构业绩证明1次（服务合同复印件）。</w:t>
      </w:r>
    </w:p>
    <w:p w14:paraId="011867FD">
      <w:pPr>
        <w:pStyle w:val="2"/>
        <w:autoSpaceDE/>
        <w:autoSpaceDN/>
        <w:adjustRightInd/>
        <w:spacing w:line="360" w:lineRule="auto"/>
        <w:ind w:firstLineChars="200"/>
        <w:rPr>
          <w:sz w:val="21"/>
          <w:szCs w:val="21"/>
          <w:highlight w:val="yellow"/>
        </w:rPr>
      </w:pPr>
    </w:p>
    <w:p w14:paraId="5D2E65C1">
      <w:pPr>
        <w:pStyle w:val="3"/>
        <w:rPr>
          <w:rFonts w:cs="宋体" w:asciiTheme="majorEastAsia" w:hAnsiTheme="majorEastAsia" w:eastAsiaTheme="majorEastAsia"/>
        </w:rPr>
      </w:pPr>
      <w:r>
        <w:rPr>
          <w:rFonts w:hint="eastAsia" w:cs="宋体" w:asciiTheme="majorEastAsia" w:hAnsiTheme="majorEastAsia" w:eastAsiaTheme="majorEastAsia"/>
        </w:rPr>
        <w:t>第四章  合同主要条款</w:t>
      </w:r>
    </w:p>
    <w:p w14:paraId="48B984B9">
      <w:pPr>
        <w:tabs>
          <w:tab w:val="left" w:pos="3640"/>
        </w:tabs>
        <w:autoSpaceDE w:val="0"/>
        <w:autoSpaceDN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szCs w:val="21"/>
        </w:rPr>
        <w:t>采购人：</w:t>
      </w:r>
      <w:r>
        <w:rPr>
          <w:rFonts w:hint="eastAsia" w:cs="宋体" w:asciiTheme="majorEastAsia" w:hAnsiTheme="majorEastAsia" w:eastAsiaTheme="majorEastAsia"/>
          <w:szCs w:val="21"/>
          <w:u w:val="single"/>
        </w:rPr>
        <w:t xml:space="preserve">                           </w:t>
      </w:r>
    </w:p>
    <w:p w14:paraId="045B73FC">
      <w:pPr>
        <w:tabs>
          <w:tab w:val="left" w:pos="3640"/>
        </w:tabs>
        <w:autoSpaceDE w:val="0"/>
        <w:autoSpaceDN w:val="0"/>
        <w:spacing w:line="360" w:lineRule="auto"/>
        <w:rPr>
          <w:rFonts w:cs="宋体" w:asciiTheme="majorEastAsia" w:hAnsiTheme="majorEastAsia" w:eastAsiaTheme="majorEastAsia"/>
          <w:szCs w:val="21"/>
          <w:u w:val="single"/>
        </w:rPr>
      </w:pPr>
      <w:r>
        <w:rPr>
          <w:rFonts w:hint="eastAsia" w:cs="宋体" w:asciiTheme="majorEastAsia" w:hAnsiTheme="majorEastAsia" w:eastAsiaTheme="majorEastAsia"/>
          <w:bCs/>
          <w:szCs w:val="21"/>
        </w:rPr>
        <w:t>成交</w:t>
      </w:r>
      <w:r>
        <w:rPr>
          <w:rFonts w:hint="eastAsia" w:cs="宋体" w:asciiTheme="majorEastAsia" w:hAnsiTheme="majorEastAsia" w:eastAsiaTheme="majorEastAsia"/>
          <w:szCs w:val="21"/>
        </w:rPr>
        <w:t>人：</w:t>
      </w:r>
      <w:r>
        <w:rPr>
          <w:rFonts w:hint="eastAsia" w:cs="宋体" w:asciiTheme="majorEastAsia" w:hAnsiTheme="majorEastAsia" w:eastAsiaTheme="majorEastAsia"/>
          <w:szCs w:val="21"/>
          <w:u w:val="single"/>
        </w:rPr>
        <w:t xml:space="preserve">                           </w:t>
      </w:r>
    </w:p>
    <w:p w14:paraId="0F320CD6">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根据《中华人民共和国民法典》及</w:t>
      </w:r>
      <w:r>
        <w:rPr>
          <w:rFonts w:hint="eastAsia" w:cs="宋体" w:asciiTheme="majorEastAsia" w:hAnsiTheme="majorEastAsia" w:eastAsiaTheme="majorEastAsia"/>
          <w:szCs w:val="21"/>
          <w:u w:val="single"/>
        </w:rPr>
        <w:t xml:space="preserve">                                （项目名称）</w:t>
      </w:r>
      <w:r>
        <w:rPr>
          <w:rFonts w:hint="eastAsia" w:cs="宋体" w:asciiTheme="majorEastAsia" w:hAnsiTheme="majorEastAsia" w:eastAsiaTheme="majorEastAsia"/>
          <w:szCs w:val="21"/>
        </w:rPr>
        <w:t>的谈判文件、响应文件等，双方经协商一致，签订如下合同条款，并共同遵守。</w:t>
      </w:r>
    </w:p>
    <w:p w14:paraId="43AE1987">
      <w:pPr>
        <w:numPr>
          <w:ilvl w:val="0"/>
          <w:numId w:val="5"/>
        </w:numPr>
        <w:tabs>
          <w:tab w:val="left" w:pos="3640"/>
        </w:tabs>
        <w:autoSpaceDE w:val="0"/>
        <w:autoSpaceDN w:val="0"/>
        <w:spacing w:line="360" w:lineRule="auto"/>
        <w:ind w:firstLine="422" w:firstLineChars="200"/>
        <w:rPr>
          <w:rFonts w:cs="宋体" w:asciiTheme="majorEastAsia" w:hAnsiTheme="majorEastAsia" w:eastAsiaTheme="majorEastAsia"/>
          <w:b/>
          <w:spacing w:val="8"/>
          <w:szCs w:val="21"/>
        </w:rPr>
      </w:pPr>
      <w:r>
        <w:rPr>
          <w:rFonts w:hint="eastAsia" w:cs="宋体" w:asciiTheme="majorEastAsia" w:hAnsiTheme="majorEastAsia" w:eastAsiaTheme="majorEastAsia"/>
          <w:b/>
          <w:szCs w:val="21"/>
        </w:rPr>
        <w:t>服务内容</w:t>
      </w:r>
    </w:p>
    <w:p w14:paraId="0A4178E4">
      <w:pPr>
        <w:pStyle w:val="19"/>
        <w:shd w:val="clear" w:color="auto" w:fill="FFFFFF"/>
        <w:spacing w:before="0" w:beforeAutospacing="0" w:after="0" w:afterAutospacing="0" w:line="360" w:lineRule="auto"/>
        <w:ind w:firstLine="422" w:firstLineChars="200"/>
        <w:rPr>
          <w:rFonts w:asciiTheme="majorEastAsia" w:hAnsiTheme="majorEastAsia" w:eastAsiaTheme="majorEastAsia"/>
          <w:kern w:val="2"/>
          <w:sz w:val="21"/>
          <w:szCs w:val="21"/>
        </w:rPr>
      </w:pPr>
      <w:r>
        <w:rPr>
          <w:rFonts w:hint="eastAsia" w:asciiTheme="majorEastAsia" w:hAnsiTheme="majorEastAsia" w:eastAsiaTheme="majorEastAsia"/>
          <w:b/>
          <w:kern w:val="2"/>
          <w:sz w:val="21"/>
          <w:szCs w:val="21"/>
        </w:rPr>
        <w:t>服务内容：</w:t>
      </w:r>
      <w:r>
        <w:rPr>
          <w:rFonts w:hint="eastAsia" w:asciiTheme="majorEastAsia" w:hAnsiTheme="majorEastAsia" w:eastAsiaTheme="majorEastAsia"/>
          <w:bCs/>
          <w:kern w:val="2"/>
          <w:sz w:val="21"/>
          <w:szCs w:val="21"/>
        </w:rPr>
        <w:t>详见竞争性谈判文件</w:t>
      </w:r>
    </w:p>
    <w:p w14:paraId="6475735C">
      <w:pPr>
        <w:autoSpaceDE w:val="0"/>
        <w:autoSpaceDN w:val="0"/>
        <w:spacing w:line="360" w:lineRule="auto"/>
        <w:ind w:firstLine="422" w:firstLineChars="200"/>
        <w:rPr>
          <w:rFonts w:ascii="宋体" w:hAnsi="宋体" w:cs="宋体"/>
          <w:b/>
          <w:spacing w:val="8"/>
          <w:szCs w:val="21"/>
        </w:rPr>
      </w:pPr>
      <w:r>
        <w:rPr>
          <w:rFonts w:hint="eastAsia" w:ascii="宋体" w:hAnsi="宋体" w:cs="宋体"/>
          <w:b/>
          <w:szCs w:val="21"/>
        </w:rPr>
        <w:t>二、合同金额：</w:t>
      </w:r>
      <w:r>
        <w:rPr>
          <w:rFonts w:hint="eastAsia" w:ascii="宋体" w:hAnsi="宋体" w:cs="宋体"/>
          <w:szCs w:val="21"/>
          <w:lang w:val="zh-CN"/>
        </w:rPr>
        <w:t>合同金额为（大写）：</w:t>
      </w:r>
      <w:r>
        <w:rPr>
          <w:rFonts w:hint="eastAsia" w:ascii="宋体" w:hAnsi="宋体" w:cs="宋体"/>
          <w:szCs w:val="21"/>
          <w:u w:val="single"/>
        </w:rPr>
        <w:t xml:space="preserve">          </w:t>
      </w:r>
      <w:r>
        <w:rPr>
          <w:rFonts w:hint="eastAsia" w:ascii="宋体" w:hAnsi="宋体" w:cs="宋体"/>
          <w:szCs w:val="21"/>
          <w:lang w:val="zh-CN"/>
        </w:rPr>
        <w:t>元（￥</w:t>
      </w:r>
      <w:r>
        <w:rPr>
          <w:rFonts w:hint="eastAsia" w:ascii="宋体" w:hAnsi="宋体" w:cs="宋体"/>
          <w:szCs w:val="21"/>
          <w:u w:val="single"/>
        </w:rPr>
        <w:t xml:space="preserve">       </w:t>
      </w:r>
      <w:r>
        <w:rPr>
          <w:rFonts w:hint="eastAsia" w:ascii="宋体" w:hAnsi="宋体" w:cs="宋体"/>
          <w:szCs w:val="21"/>
          <w:lang w:val="zh-CN"/>
        </w:rPr>
        <w:t>元）人民币。</w:t>
      </w:r>
    </w:p>
    <w:p w14:paraId="2D75975F">
      <w:pPr>
        <w:spacing w:line="360" w:lineRule="auto"/>
        <w:ind w:firstLine="422" w:firstLineChars="200"/>
        <w:rPr>
          <w:rFonts w:ascii="宋体" w:hAnsi="宋体" w:cs="宋体"/>
          <w:b/>
          <w:szCs w:val="21"/>
        </w:rPr>
      </w:pPr>
      <w:r>
        <w:rPr>
          <w:rFonts w:hint="eastAsia" w:ascii="宋体" w:hAnsi="宋体" w:cs="宋体"/>
          <w:b/>
          <w:szCs w:val="21"/>
        </w:rPr>
        <w:t>三、服务期：</w:t>
      </w:r>
      <w:r>
        <w:rPr>
          <w:rFonts w:hint="eastAsia" w:ascii="宋体" w:hAnsi="宋体" w:cs="宋体"/>
          <w:color w:val="000000"/>
          <w:kern w:val="0"/>
          <w:szCs w:val="21"/>
        </w:rPr>
        <w:t>自合同签订之日起</w:t>
      </w:r>
      <w:r>
        <w:rPr>
          <w:rFonts w:hint="eastAsia" w:ascii="宋体" w:hAnsi="宋体" w:cs="宋体"/>
          <w:color w:val="auto"/>
          <w:kern w:val="0"/>
          <w:szCs w:val="21"/>
          <w:lang w:val="en-US" w:eastAsia="zh-CN"/>
        </w:rPr>
        <w:t>30</w:t>
      </w:r>
      <w:r>
        <w:rPr>
          <w:rFonts w:hint="eastAsia" w:ascii="宋体" w:hAnsi="宋体" w:cs="宋体"/>
          <w:color w:val="000000"/>
          <w:kern w:val="0"/>
          <w:szCs w:val="21"/>
          <w:lang w:val="en-US" w:eastAsia="zh-CN"/>
        </w:rPr>
        <w:t>天</w:t>
      </w:r>
      <w:r>
        <w:rPr>
          <w:rFonts w:hint="eastAsia" w:ascii="宋体" w:hAnsi="宋体" w:cs="宋体"/>
          <w:color w:val="000000"/>
          <w:kern w:val="0"/>
          <w:szCs w:val="21"/>
        </w:rPr>
        <w:t>。</w:t>
      </w:r>
    </w:p>
    <w:p w14:paraId="42A714CC">
      <w:pPr>
        <w:tabs>
          <w:tab w:val="left" w:pos="3640"/>
        </w:tabs>
        <w:autoSpaceDE w:val="0"/>
        <w:autoSpaceDN w:val="0"/>
        <w:spacing w:line="360" w:lineRule="auto"/>
        <w:ind w:firstLine="422" w:firstLineChars="200"/>
        <w:rPr>
          <w:rFonts w:ascii="宋体" w:hAnsi="宋体" w:cs="宋体"/>
          <w:b/>
          <w:szCs w:val="21"/>
        </w:rPr>
      </w:pPr>
      <w:r>
        <w:rPr>
          <w:rFonts w:hint="eastAsia" w:ascii="宋体" w:hAnsi="宋体" w:cs="宋体"/>
          <w:b/>
          <w:szCs w:val="21"/>
        </w:rPr>
        <w:t>四、服务地点：</w:t>
      </w:r>
      <w:r>
        <w:rPr>
          <w:rFonts w:hint="eastAsia" w:ascii="宋体" w:hAnsi="宋体" w:cs="宋体"/>
          <w:szCs w:val="21"/>
        </w:rPr>
        <w:t>安庆市中医医院</w:t>
      </w:r>
    </w:p>
    <w:p w14:paraId="6052B355">
      <w:pPr>
        <w:spacing w:line="360" w:lineRule="auto"/>
        <w:ind w:firstLine="422" w:firstLineChars="200"/>
        <w:rPr>
          <w:rFonts w:ascii="宋体" w:hAnsi="宋体" w:cs="宋体"/>
          <w:b/>
          <w:bCs/>
          <w:szCs w:val="21"/>
        </w:rPr>
      </w:pPr>
      <w:r>
        <w:rPr>
          <w:rFonts w:hint="eastAsia" w:ascii="宋体" w:hAnsi="宋体" w:cs="宋体"/>
          <w:b/>
          <w:szCs w:val="21"/>
        </w:rPr>
        <w:t>五、付款方式：</w:t>
      </w:r>
      <w:r>
        <w:rPr>
          <w:rFonts w:hint="eastAsia" w:ascii="宋体" w:hAnsi="宋体" w:cs="宋体"/>
          <w:szCs w:val="21"/>
        </w:rPr>
        <w:t>成交人完成各项审计工作，并提交全部成果审计报告后</w:t>
      </w:r>
      <w:r>
        <w:rPr>
          <w:rFonts w:hint="eastAsia" w:ascii="宋体" w:hAnsi="宋体" w:cs="宋体"/>
          <w:szCs w:val="21"/>
          <w:lang w:val="en-US" w:eastAsia="zh-CN"/>
        </w:rPr>
        <w:t>30天</w:t>
      </w:r>
      <w:r>
        <w:rPr>
          <w:rFonts w:hint="eastAsia" w:ascii="宋体" w:hAnsi="宋体" w:cs="宋体"/>
          <w:szCs w:val="21"/>
        </w:rPr>
        <w:t>内支付。</w:t>
      </w:r>
    </w:p>
    <w:p w14:paraId="1E5210C0">
      <w:pPr>
        <w:tabs>
          <w:tab w:val="left" w:pos="3640"/>
        </w:tabs>
        <w:autoSpaceDE w:val="0"/>
        <w:autoSpaceDN w:val="0"/>
        <w:spacing w:line="360" w:lineRule="auto"/>
        <w:ind w:firstLine="422" w:firstLineChars="200"/>
        <w:rPr>
          <w:rFonts w:ascii="宋体" w:hAnsi="宋体" w:cs="宋体"/>
          <w:b/>
          <w:bCs/>
          <w:szCs w:val="21"/>
        </w:rPr>
      </w:pPr>
      <w:r>
        <w:rPr>
          <w:rFonts w:hint="eastAsia" w:ascii="宋体" w:hAnsi="宋体" w:cs="宋体"/>
          <w:b/>
          <w:bCs/>
          <w:szCs w:val="21"/>
        </w:rPr>
        <w:t>六、违约责任</w:t>
      </w:r>
    </w:p>
    <w:p w14:paraId="1C297422">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 xml:space="preserve">1、采购人无正当理由拒绝接受服务，采购人向成交人偿付合同价的 </w:t>
      </w:r>
      <w:r>
        <w:rPr>
          <w:rFonts w:hint="eastAsia" w:ascii="宋体" w:hAnsi="宋体" w:cs="宋体"/>
          <w:szCs w:val="21"/>
          <w:u w:val="single"/>
        </w:rPr>
        <w:t xml:space="preserve">  5  </w:t>
      </w:r>
      <w:r>
        <w:rPr>
          <w:rFonts w:hint="eastAsia" w:ascii="宋体" w:hAnsi="宋体" w:cs="宋体"/>
          <w:spacing w:val="8"/>
          <w:szCs w:val="21"/>
        </w:rPr>
        <w:t>％</w:t>
      </w:r>
      <w:r>
        <w:rPr>
          <w:rFonts w:hint="eastAsia" w:ascii="宋体" w:hAnsi="宋体" w:cs="宋体"/>
          <w:szCs w:val="21"/>
        </w:rPr>
        <w:t>的违约金；</w:t>
      </w:r>
    </w:p>
    <w:p w14:paraId="2A80AC1D">
      <w:pPr>
        <w:tabs>
          <w:tab w:val="left" w:pos="3640"/>
        </w:tabs>
        <w:autoSpaceDE w:val="0"/>
        <w:autoSpaceDN w:val="0"/>
        <w:spacing w:line="360" w:lineRule="auto"/>
        <w:ind w:firstLine="420" w:firstLineChars="200"/>
        <w:rPr>
          <w:rFonts w:ascii="宋体" w:hAnsi="宋体" w:cs="宋体"/>
          <w:szCs w:val="21"/>
        </w:rPr>
      </w:pPr>
      <w:r>
        <w:rPr>
          <w:rFonts w:hint="eastAsia" w:ascii="宋体" w:hAnsi="宋体" w:cs="宋体"/>
          <w:szCs w:val="21"/>
        </w:rPr>
        <w:t>2、采购人无正当理由逾期付款的，采购人向成交人每日偿付合同价的</w:t>
      </w:r>
      <w:r>
        <w:rPr>
          <w:rFonts w:hint="eastAsia" w:ascii="宋体" w:hAnsi="宋体" w:cs="宋体"/>
          <w:szCs w:val="21"/>
          <w:u w:val="single"/>
        </w:rPr>
        <w:t xml:space="preserve">  5  </w:t>
      </w:r>
      <w:r>
        <w:rPr>
          <w:rFonts w:hint="eastAsia" w:ascii="宋体" w:hAnsi="宋体" w:cs="宋体"/>
          <w:szCs w:val="21"/>
        </w:rPr>
        <w:t>‰的违约金；</w:t>
      </w:r>
    </w:p>
    <w:p w14:paraId="7528CFAC">
      <w:pPr>
        <w:tabs>
          <w:tab w:val="left" w:pos="3640"/>
        </w:tabs>
        <w:autoSpaceDE w:val="0"/>
        <w:autoSpaceDN w:val="0"/>
        <w:spacing w:line="360" w:lineRule="auto"/>
        <w:ind w:firstLine="452" w:firstLineChars="200"/>
        <w:rPr>
          <w:rFonts w:ascii="宋体" w:hAnsi="宋体" w:cs="宋体"/>
          <w:b/>
          <w:szCs w:val="21"/>
        </w:rPr>
      </w:pPr>
      <w:r>
        <w:rPr>
          <w:rFonts w:hint="eastAsia" w:ascii="宋体" w:hAnsi="宋体" w:cs="宋体"/>
          <w:spacing w:val="8"/>
          <w:szCs w:val="21"/>
        </w:rPr>
        <w:t>3、成交人不能提供服务的，成交人向采购人支付合同价的</w:t>
      </w:r>
      <w:r>
        <w:rPr>
          <w:rFonts w:hint="eastAsia" w:ascii="宋体" w:hAnsi="宋体" w:cs="宋体"/>
          <w:spacing w:val="8"/>
          <w:szCs w:val="21"/>
          <w:u w:val="single"/>
        </w:rPr>
        <w:t xml:space="preserve">  5   </w:t>
      </w:r>
      <w:r>
        <w:rPr>
          <w:rFonts w:hint="eastAsia" w:ascii="宋体" w:hAnsi="宋体" w:cs="宋体"/>
          <w:spacing w:val="8"/>
          <w:szCs w:val="21"/>
        </w:rPr>
        <w:t>％的违约金；</w:t>
      </w:r>
    </w:p>
    <w:p w14:paraId="30EADAE2">
      <w:pPr>
        <w:spacing w:line="360" w:lineRule="auto"/>
        <w:ind w:left="-178" w:leftChars="-85" w:firstLine="580" w:firstLineChars="257"/>
        <w:rPr>
          <w:rFonts w:ascii="宋体" w:hAnsi="宋体" w:cs="宋体"/>
          <w:spacing w:val="8"/>
          <w:szCs w:val="21"/>
        </w:rPr>
      </w:pPr>
      <w:r>
        <w:rPr>
          <w:rFonts w:hint="eastAsia" w:ascii="宋体" w:hAnsi="宋体" w:cs="宋体"/>
          <w:spacing w:val="8"/>
          <w:szCs w:val="21"/>
        </w:rPr>
        <w:t>4、成交人逾期提供服务的，成交人向采购人每日偿付合同价的</w:t>
      </w:r>
      <w:r>
        <w:rPr>
          <w:rFonts w:hint="eastAsia" w:ascii="宋体" w:hAnsi="宋体" w:cs="宋体"/>
          <w:spacing w:val="8"/>
          <w:szCs w:val="21"/>
          <w:u w:val="single"/>
        </w:rPr>
        <w:t xml:space="preserve">  5  </w:t>
      </w:r>
      <w:r>
        <w:rPr>
          <w:rFonts w:hint="eastAsia" w:ascii="宋体" w:hAnsi="宋体" w:cs="宋体"/>
          <w:spacing w:val="8"/>
          <w:szCs w:val="21"/>
        </w:rPr>
        <w:t>‰的违约金。</w:t>
      </w:r>
    </w:p>
    <w:p w14:paraId="2B1C6D35">
      <w:pPr>
        <w:spacing w:line="360" w:lineRule="auto"/>
        <w:ind w:left="-178" w:leftChars="-85" w:firstLine="583" w:firstLineChars="257"/>
        <w:rPr>
          <w:rFonts w:ascii="宋体" w:hAnsi="宋体" w:cs="宋体"/>
          <w:b/>
          <w:spacing w:val="8"/>
          <w:szCs w:val="21"/>
        </w:rPr>
      </w:pPr>
      <w:r>
        <w:rPr>
          <w:rFonts w:hint="eastAsia" w:ascii="宋体" w:hAnsi="宋体" w:cs="宋体"/>
          <w:b/>
          <w:spacing w:val="8"/>
          <w:szCs w:val="21"/>
        </w:rPr>
        <w:t>七、解决合同纠纷方式</w:t>
      </w:r>
    </w:p>
    <w:p w14:paraId="530628D1">
      <w:pPr>
        <w:tabs>
          <w:tab w:val="left" w:pos="3640"/>
        </w:tabs>
        <w:autoSpaceDE w:val="0"/>
        <w:autoSpaceDN w:val="0"/>
        <w:spacing w:line="360" w:lineRule="auto"/>
        <w:ind w:firstLine="452" w:firstLineChars="200"/>
        <w:rPr>
          <w:rFonts w:cs="宋体" w:asciiTheme="majorEastAsia" w:hAnsiTheme="majorEastAsia" w:eastAsiaTheme="majorEastAsia"/>
          <w:spacing w:val="8"/>
          <w:szCs w:val="21"/>
        </w:rPr>
      </w:pPr>
      <w:r>
        <w:rPr>
          <w:rFonts w:hint="eastAsia" w:cs="宋体" w:asciiTheme="majorEastAsia" w:hAnsiTheme="majorEastAsia" w:eastAsiaTheme="majorEastAsia"/>
          <w:spacing w:val="8"/>
          <w:szCs w:val="21"/>
        </w:rPr>
        <w:t>本合同如发生纠纷，双方应当及时协商解决，协商不成时，按以下第（①）项方式处理：①根据《中华人民共和国仲裁法》的规定向 安庆仲裁委员会申请仲裁。②向________人民法院起诉。</w:t>
      </w:r>
    </w:p>
    <w:p w14:paraId="2C2FF75A">
      <w:pPr>
        <w:spacing w:line="360" w:lineRule="auto"/>
        <w:ind w:left="-178" w:leftChars="-85" w:firstLine="583" w:firstLineChars="257"/>
        <w:rPr>
          <w:rFonts w:asciiTheme="majorEastAsia" w:hAnsiTheme="majorEastAsia" w:eastAsiaTheme="majorEastAsia"/>
          <w:b/>
          <w:spacing w:val="8"/>
          <w:szCs w:val="21"/>
        </w:rPr>
      </w:pPr>
      <w:r>
        <w:rPr>
          <w:rFonts w:hint="eastAsia" w:asciiTheme="majorEastAsia" w:hAnsiTheme="majorEastAsia" w:eastAsiaTheme="majorEastAsia"/>
          <w:b/>
          <w:spacing w:val="8"/>
          <w:szCs w:val="21"/>
        </w:rPr>
        <w:t>八、</w:t>
      </w:r>
      <w:r>
        <w:rPr>
          <w:rFonts w:hint="eastAsia" w:cs="宋体" w:asciiTheme="majorEastAsia" w:hAnsiTheme="majorEastAsia" w:eastAsiaTheme="majorEastAsia"/>
          <w:b/>
          <w:szCs w:val="21"/>
        </w:rPr>
        <w:t>本合同组成及解释先后顺序：</w:t>
      </w:r>
    </w:p>
    <w:p w14:paraId="1BFF50C7">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1、成交通知书；</w:t>
      </w:r>
    </w:p>
    <w:p w14:paraId="45DF692B">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2、竞争性谈判文件；</w:t>
      </w:r>
    </w:p>
    <w:p w14:paraId="7D6DBCFC">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3、本合同文本；</w:t>
      </w:r>
    </w:p>
    <w:p w14:paraId="1EBE144F">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4、成交人的谈判响应文件；　</w:t>
      </w:r>
    </w:p>
    <w:p w14:paraId="4F8027D4">
      <w:pPr>
        <w:tabs>
          <w:tab w:val="left" w:pos="3640"/>
        </w:tabs>
        <w:autoSpaceDE w:val="0"/>
        <w:autoSpaceDN w:val="0"/>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5、其他补充约定事项。</w:t>
      </w:r>
    </w:p>
    <w:p w14:paraId="13013CCB">
      <w:pPr>
        <w:widowControl/>
        <w:spacing w:line="360" w:lineRule="auto"/>
        <w:ind w:firstLine="422" w:firstLineChars="200"/>
        <w:jc w:val="left"/>
        <w:rPr>
          <w:rFonts w:asciiTheme="majorEastAsia" w:hAnsiTheme="majorEastAsia" w:eastAsiaTheme="majorEastAsia"/>
          <w:b/>
          <w:spacing w:val="8"/>
          <w:szCs w:val="21"/>
          <w:u w:val="single"/>
        </w:rPr>
      </w:pPr>
      <w:r>
        <w:rPr>
          <w:rFonts w:hint="eastAsia" w:cs="宋体" w:asciiTheme="majorEastAsia" w:hAnsiTheme="majorEastAsia" w:eastAsiaTheme="majorEastAsia"/>
          <w:b/>
          <w:szCs w:val="21"/>
        </w:rPr>
        <w:t>九、其他约定事项：</w:t>
      </w:r>
      <w:r>
        <w:rPr>
          <w:rFonts w:hint="eastAsia" w:asciiTheme="majorEastAsia" w:hAnsiTheme="majorEastAsia" w:eastAsiaTheme="majorEastAsia"/>
          <w:spacing w:val="8"/>
          <w:szCs w:val="21"/>
          <w:u w:val="single"/>
        </w:rPr>
        <w:t>成交人向采购人致送</w:t>
      </w:r>
      <w:r>
        <w:rPr>
          <w:rFonts w:hint="eastAsia" w:ascii="宋体" w:hAnsi="宋体" w:cs="宋体"/>
          <w:kern w:val="0"/>
          <w:szCs w:val="21"/>
          <w:u w:val="single"/>
        </w:rPr>
        <w:t>审计报告一式</w:t>
      </w:r>
      <w:r>
        <w:rPr>
          <w:rFonts w:hint="eastAsia" w:ascii="宋体" w:hAnsi="宋体" w:cs="宋体"/>
          <w:color w:val="auto"/>
          <w:kern w:val="0"/>
          <w:szCs w:val="21"/>
          <w:u w:val="single"/>
        </w:rPr>
        <w:t>4</w:t>
      </w:r>
      <w:r>
        <w:rPr>
          <w:rFonts w:hint="eastAsia" w:ascii="宋体" w:hAnsi="宋体" w:cs="宋体"/>
          <w:kern w:val="0"/>
          <w:szCs w:val="21"/>
          <w:u w:val="single"/>
        </w:rPr>
        <w:t>份，</w:t>
      </w:r>
      <w:r>
        <w:rPr>
          <w:rFonts w:hint="eastAsia" w:asciiTheme="majorEastAsia" w:hAnsiTheme="majorEastAsia" w:eastAsiaTheme="majorEastAsia"/>
          <w:spacing w:val="8"/>
          <w:szCs w:val="21"/>
          <w:u w:val="single"/>
        </w:rPr>
        <w:t>整体报告</w:t>
      </w:r>
      <w:r>
        <w:rPr>
          <w:rFonts w:hint="eastAsia" w:ascii="宋体" w:hAnsi="宋体" w:cs="宋体"/>
          <w:kern w:val="0"/>
          <w:szCs w:val="21"/>
          <w:u w:val="single"/>
        </w:rPr>
        <w:t>一式</w:t>
      </w:r>
      <w:r>
        <w:rPr>
          <w:rFonts w:hint="eastAsia" w:ascii="宋体" w:hAnsi="宋体" w:cs="宋体"/>
          <w:color w:val="auto"/>
          <w:kern w:val="0"/>
          <w:szCs w:val="21"/>
          <w:u w:val="single"/>
        </w:rPr>
        <w:t>4</w:t>
      </w:r>
      <w:r>
        <w:rPr>
          <w:rFonts w:hint="eastAsia" w:ascii="宋体" w:hAnsi="宋体" w:cs="宋体"/>
          <w:kern w:val="0"/>
          <w:szCs w:val="21"/>
          <w:u w:val="single"/>
        </w:rPr>
        <w:t>份。</w:t>
      </w:r>
      <w:r>
        <w:rPr>
          <w:rFonts w:hint="eastAsia" w:asciiTheme="majorEastAsia" w:hAnsiTheme="majorEastAsia" w:eastAsiaTheme="majorEastAsia"/>
          <w:spacing w:val="8"/>
          <w:szCs w:val="21"/>
          <w:u w:val="single"/>
        </w:rPr>
        <w:t xml:space="preserve">　　　　　　　　  </w:t>
      </w:r>
      <w:r>
        <w:rPr>
          <w:rFonts w:hint="eastAsia" w:asciiTheme="majorEastAsia" w:hAnsiTheme="majorEastAsia" w:eastAsiaTheme="majorEastAsia"/>
          <w:b/>
          <w:spacing w:val="8"/>
          <w:szCs w:val="21"/>
          <w:u w:val="single"/>
        </w:rPr>
        <w:t xml:space="preserve">                               </w:t>
      </w:r>
    </w:p>
    <w:p w14:paraId="6AD8298F">
      <w:pPr>
        <w:spacing w:line="360" w:lineRule="auto"/>
        <w:ind w:left="-178" w:leftChars="-85" w:firstLine="177" w:firstLineChars="78"/>
        <w:rPr>
          <w:rFonts w:asciiTheme="majorEastAsia" w:hAnsiTheme="majorEastAsia" w:eastAsiaTheme="majorEastAsia"/>
          <w:spacing w:val="8"/>
          <w:szCs w:val="21"/>
          <w:u w:val="single"/>
        </w:rPr>
      </w:pPr>
      <w:r>
        <w:rPr>
          <w:rFonts w:hint="eastAsia" w:asciiTheme="majorEastAsia" w:hAnsiTheme="majorEastAsia" w:eastAsiaTheme="majorEastAsia"/>
          <w:b/>
          <w:spacing w:val="8"/>
          <w:szCs w:val="21"/>
          <w:u w:val="single"/>
        </w:rPr>
        <w:t xml:space="preserve">                                                       </w:t>
      </w:r>
      <w:r>
        <w:rPr>
          <w:rFonts w:hint="eastAsia" w:asciiTheme="majorEastAsia" w:hAnsiTheme="majorEastAsia" w:eastAsiaTheme="majorEastAsia"/>
          <w:spacing w:val="8"/>
          <w:szCs w:val="21"/>
          <w:u w:val="single"/>
        </w:rPr>
        <w:t xml:space="preserve">                    </w:t>
      </w:r>
    </w:p>
    <w:p w14:paraId="316448C1">
      <w:pPr>
        <w:spacing w:line="360" w:lineRule="auto"/>
        <w:ind w:left="-178" w:leftChars="-85" w:firstLine="176" w:firstLineChars="78"/>
        <w:rPr>
          <w:rFonts w:asciiTheme="majorEastAsia" w:hAnsiTheme="majorEastAsia" w:eastAsiaTheme="majorEastAsia"/>
          <w:spacing w:val="8"/>
          <w:szCs w:val="21"/>
          <w:u w:val="single"/>
        </w:rPr>
      </w:pPr>
      <w:r>
        <w:rPr>
          <w:rFonts w:hint="eastAsia" w:asciiTheme="majorEastAsia" w:hAnsiTheme="majorEastAsia" w:eastAsiaTheme="majorEastAsia"/>
          <w:spacing w:val="8"/>
          <w:szCs w:val="21"/>
          <w:u w:val="single"/>
        </w:rPr>
        <w:t xml:space="preserve">                                                                           </w:t>
      </w:r>
    </w:p>
    <w:p w14:paraId="6A74F12F">
      <w:pPr>
        <w:spacing w:line="360" w:lineRule="auto"/>
        <w:ind w:left="-178" w:leftChars="-85" w:firstLine="176" w:firstLineChars="78"/>
        <w:rPr>
          <w:rFonts w:cs="宋体" w:asciiTheme="majorEastAsia" w:hAnsiTheme="majorEastAsia" w:eastAsiaTheme="majorEastAsia"/>
          <w:spacing w:val="8"/>
          <w:szCs w:val="21"/>
          <w:u w:val="single"/>
        </w:rPr>
      </w:pPr>
    </w:p>
    <w:p w14:paraId="33A06171">
      <w:pPr>
        <w:tabs>
          <w:tab w:val="left" w:pos="3640"/>
        </w:tabs>
        <w:autoSpaceDE w:val="0"/>
        <w:autoSpaceDN w:val="0"/>
        <w:spacing w:line="360" w:lineRule="auto"/>
        <w:ind w:firstLine="420" w:firstLineChars="200"/>
        <w:rPr>
          <w:rFonts w:cs="宋体" w:asciiTheme="majorEastAsia" w:hAnsiTheme="majorEastAsia" w:eastAsiaTheme="majorEastAsia"/>
          <w:szCs w:val="21"/>
        </w:rPr>
      </w:pPr>
    </w:p>
    <w:p w14:paraId="63891968">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w:t>
      </w:r>
    </w:p>
    <w:p w14:paraId="4E33632B">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采购人（盖章）：</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成交人（盖章）：</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14:paraId="7A689268">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法人代表：</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法人代表：</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14:paraId="4779FC09">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联系人：</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联系人：</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14:paraId="0AC66A39">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地址：</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地址：</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14:paraId="689B8A63">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电话：</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电话：</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 xml:space="preserve">    </w:t>
      </w:r>
    </w:p>
    <w:p w14:paraId="522A2B0F">
      <w:pPr>
        <w:tabs>
          <w:tab w:val="left" w:pos="3640"/>
        </w:tabs>
        <w:autoSpaceDE w:val="0"/>
        <w:autoSpaceDN w:val="0"/>
        <w:spacing w:line="480" w:lineRule="auto"/>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年   月    日                                         年   月    日              </w:t>
      </w:r>
    </w:p>
    <w:p w14:paraId="246EE630">
      <w:pPr>
        <w:snapToGrid w:val="0"/>
        <w:spacing w:line="500" w:lineRule="exact"/>
        <w:rPr>
          <w:rFonts w:ascii="宋体" w:hAnsi="宋体" w:cs="宋体"/>
        </w:rPr>
      </w:pPr>
      <w:r>
        <w:rPr>
          <w:rFonts w:hint="eastAsia" w:ascii="宋体" w:hAnsi="宋体"/>
          <w:b/>
          <w:szCs w:val="21"/>
        </w:rPr>
        <w:t>注：本合同仅为合同的参考文本，合同签订双方可根据项目的具体要求进行修订。</w:t>
      </w:r>
    </w:p>
    <w:p w14:paraId="137ABC3A">
      <w:pPr>
        <w:widowControl/>
        <w:jc w:val="left"/>
        <w:rPr>
          <w:rFonts w:cs="宋体" w:asciiTheme="majorEastAsia" w:hAnsiTheme="majorEastAsia" w:eastAsiaTheme="majorEastAsia"/>
          <w:szCs w:val="21"/>
        </w:rPr>
      </w:pPr>
    </w:p>
    <w:p w14:paraId="318AA302">
      <w:pPr>
        <w:pStyle w:val="2"/>
        <w:rPr>
          <w:rFonts w:hAnsi="宋体"/>
          <w:b/>
          <w:szCs w:val="21"/>
        </w:rPr>
      </w:pPr>
    </w:p>
    <w:p w14:paraId="627996D7">
      <w:pPr>
        <w:pStyle w:val="2"/>
      </w:pPr>
    </w:p>
    <w:p w14:paraId="45CEA955"/>
    <w:p w14:paraId="013FC6C3">
      <w:pPr>
        <w:pStyle w:val="2"/>
      </w:pPr>
    </w:p>
    <w:p w14:paraId="61C7732F"/>
    <w:p w14:paraId="3B9A3E8C">
      <w:pPr>
        <w:pStyle w:val="2"/>
      </w:pPr>
    </w:p>
    <w:p w14:paraId="24C7E76F"/>
    <w:p w14:paraId="58A7615A">
      <w:pPr>
        <w:pStyle w:val="2"/>
      </w:pPr>
    </w:p>
    <w:p w14:paraId="7890048E"/>
    <w:p w14:paraId="3B4EB6D6">
      <w:pPr>
        <w:pStyle w:val="2"/>
      </w:pPr>
    </w:p>
    <w:p w14:paraId="155BED50">
      <w:pPr>
        <w:pStyle w:val="2"/>
        <w:ind w:firstLine="0"/>
      </w:pPr>
    </w:p>
    <w:p w14:paraId="2C40C8B4"/>
    <w:p w14:paraId="16CD89B4">
      <w:pPr>
        <w:pStyle w:val="2"/>
      </w:pPr>
    </w:p>
    <w:p w14:paraId="0FE218B5"/>
    <w:p w14:paraId="1C116787">
      <w:pPr>
        <w:pStyle w:val="2"/>
      </w:pPr>
    </w:p>
    <w:p w14:paraId="5A423250"/>
    <w:p w14:paraId="2368E61C">
      <w:pPr>
        <w:pStyle w:val="2"/>
      </w:pPr>
    </w:p>
    <w:p w14:paraId="6CA19FA6">
      <w:pPr>
        <w:pStyle w:val="2"/>
      </w:pPr>
    </w:p>
    <w:p w14:paraId="44D95F93"/>
    <w:p w14:paraId="2889D76B">
      <w:pPr>
        <w:pStyle w:val="2"/>
      </w:pPr>
    </w:p>
    <w:p w14:paraId="13BDAC00"/>
    <w:p w14:paraId="60942375">
      <w:pPr>
        <w:pStyle w:val="2"/>
        <w:rPr>
          <w:rFonts w:hint="eastAsia"/>
        </w:rPr>
      </w:pPr>
    </w:p>
    <w:p w14:paraId="2C67B6A0">
      <w:pPr>
        <w:pStyle w:val="3"/>
        <w:numPr>
          <w:ilvl w:val="0"/>
          <w:numId w:val="6"/>
        </w:numPr>
        <w:rPr>
          <w:rFonts w:cs="宋体" w:asciiTheme="majorEastAsia" w:hAnsiTheme="majorEastAsia" w:eastAsiaTheme="majorEastAsia"/>
        </w:rPr>
      </w:pPr>
      <w:r>
        <w:rPr>
          <w:rFonts w:hint="eastAsia" w:cs="宋体" w:asciiTheme="majorEastAsia" w:hAnsiTheme="majorEastAsia" w:eastAsiaTheme="majorEastAsia"/>
        </w:rPr>
        <w:t xml:space="preserve">  谈判响应文件格式</w:t>
      </w:r>
    </w:p>
    <w:p w14:paraId="6BAB1B00">
      <w:pPr>
        <w:jc w:val="right"/>
        <w:rPr>
          <w:b/>
          <w:bCs/>
        </w:rPr>
      </w:pPr>
      <w:r>
        <w:rPr>
          <w:rFonts w:hint="eastAsia"/>
          <w:b/>
          <w:bCs/>
        </w:rPr>
        <w:t>（正本/副本）</w:t>
      </w:r>
    </w:p>
    <w:p w14:paraId="0AE64823">
      <w:pPr>
        <w:spacing w:line="360" w:lineRule="auto"/>
        <w:jc w:val="center"/>
        <w:rPr>
          <w:rFonts w:cs="宋体" w:asciiTheme="majorEastAsia" w:hAnsiTheme="majorEastAsia" w:eastAsiaTheme="majorEastAsia"/>
          <w:b/>
          <w:spacing w:val="20"/>
          <w:sz w:val="36"/>
          <w:szCs w:val="36"/>
        </w:rPr>
      </w:pPr>
      <w:r>
        <w:rPr>
          <w:rFonts w:hint="eastAsia" w:cs="宋体" w:asciiTheme="majorEastAsia" w:hAnsiTheme="majorEastAsia" w:eastAsiaTheme="majorEastAsia"/>
          <w:b/>
          <w:spacing w:val="20"/>
          <w:sz w:val="36"/>
          <w:szCs w:val="36"/>
          <w:u w:val="single"/>
        </w:rPr>
        <w:t xml:space="preserve">               </w:t>
      </w:r>
      <w:r>
        <w:rPr>
          <w:rFonts w:hint="eastAsia" w:cs="宋体" w:asciiTheme="majorEastAsia" w:hAnsiTheme="majorEastAsia" w:eastAsiaTheme="majorEastAsia"/>
          <w:b/>
          <w:spacing w:val="20"/>
          <w:sz w:val="36"/>
          <w:szCs w:val="36"/>
        </w:rPr>
        <w:t>项目</w:t>
      </w:r>
    </w:p>
    <w:p w14:paraId="7E07820A">
      <w:pPr>
        <w:spacing w:line="360" w:lineRule="auto"/>
        <w:rPr>
          <w:rFonts w:cs="宋体" w:asciiTheme="majorEastAsia" w:hAnsiTheme="majorEastAsia" w:eastAsiaTheme="majorEastAsia"/>
          <w:sz w:val="24"/>
        </w:rPr>
      </w:pPr>
    </w:p>
    <w:p w14:paraId="0807C472">
      <w:pPr>
        <w:spacing w:line="360" w:lineRule="auto"/>
        <w:rPr>
          <w:rFonts w:cs="宋体" w:asciiTheme="majorEastAsia" w:hAnsiTheme="majorEastAsia" w:eastAsiaTheme="majorEastAsia"/>
          <w:sz w:val="24"/>
        </w:rPr>
      </w:pPr>
    </w:p>
    <w:p w14:paraId="7A5BEFAD">
      <w:pPr>
        <w:spacing w:line="800" w:lineRule="exact"/>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谈</w:t>
      </w:r>
    </w:p>
    <w:p w14:paraId="3DFA6C29">
      <w:pPr>
        <w:spacing w:line="800" w:lineRule="exact"/>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判</w:t>
      </w:r>
    </w:p>
    <w:p w14:paraId="4FA0A42C">
      <w:pPr>
        <w:spacing w:line="800" w:lineRule="exact"/>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响</w:t>
      </w:r>
    </w:p>
    <w:p w14:paraId="20D119D0">
      <w:pPr>
        <w:spacing w:line="800" w:lineRule="exact"/>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应</w:t>
      </w:r>
    </w:p>
    <w:p w14:paraId="4605EDA3">
      <w:pPr>
        <w:spacing w:line="800" w:lineRule="exact"/>
        <w:jc w:val="center"/>
        <w:rPr>
          <w:rFonts w:cs="宋体" w:asciiTheme="majorEastAsia" w:hAnsiTheme="majorEastAsia" w:eastAsiaTheme="majorEastAsia"/>
          <w:b/>
          <w:sz w:val="72"/>
          <w:szCs w:val="72"/>
        </w:rPr>
      </w:pPr>
      <w:r>
        <w:rPr>
          <w:rFonts w:hint="eastAsia" w:cs="宋体" w:asciiTheme="majorEastAsia" w:hAnsiTheme="majorEastAsia" w:eastAsiaTheme="majorEastAsia"/>
          <w:b/>
          <w:sz w:val="72"/>
          <w:szCs w:val="72"/>
        </w:rPr>
        <w:t>文</w:t>
      </w:r>
    </w:p>
    <w:p w14:paraId="11B5F28A">
      <w:pPr>
        <w:spacing w:line="360" w:lineRule="auto"/>
        <w:jc w:val="center"/>
        <w:rPr>
          <w:rFonts w:cs="宋体" w:asciiTheme="majorEastAsia" w:hAnsiTheme="majorEastAsia" w:eastAsiaTheme="majorEastAsia"/>
          <w:sz w:val="24"/>
        </w:rPr>
      </w:pPr>
      <w:r>
        <w:rPr>
          <w:rFonts w:hint="eastAsia" w:cs="宋体" w:asciiTheme="majorEastAsia" w:hAnsiTheme="majorEastAsia" w:eastAsiaTheme="majorEastAsia"/>
          <w:b/>
          <w:sz w:val="72"/>
          <w:szCs w:val="72"/>
        </w:rPr>
        <w:t>件</w:t>
      </w:r>
    </w:p>
    <w:p w14:paraId="54D623B0">
      <w:pPr>
        <w:spacing w:line="360" w:lineRule="auto"/>
        <w:rPr>
          <w:rFonts w:cs="宋体" w:asciiTheme="majorEastAsia" w:hAnsiTheme="majorEastAsia" w:eastAsiaTheme="majorEastAsia"/>
          <w:b/>
          <w:sz w:val="30"/>
          <w:szCs w:val="30"/>
        </w:rPr>
      </w:pPr>
    </w:p>
    <w:p w14:paraId="33F265F9">
      <w:pPr>
        <w:spacing w:line="360" w:lineRule="auto"/>
        <w:rPr>
          <w:rFonts w:cs="宋体" w:asciiTheme="majorEastAsia" w:hAnsiTheme="majorEastAsia" w:eastAsiaTheme="majorEastAsia"/>
          <w:b/>
          <w:sz w:val="30"/>
          <w:szCs w:val="30"/>
        </w:rPr>
      </w:pPr>
    </w:p>
    <w:p w14:paraId="57238852">
      <w:pPr>
        <w:spacing w:line="360" w:lineRule="auto"/>
        <w:ind w:firstLine="148" w:firstLineChars="49"/>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 xml:space="preserve">谈判响应人名称： </w:t>
      </w:r>
      <w:r>
        <w:rPr>
          <w:rFonts w:hint="eastAsia" w:cs="宋体" w:asciiTheme="majorEastAsia" w:hAnsiTheme="majorEastAsia" w:eastAsiaTheme="majorEastAsia"/>
          <w:b/>
          <w:sz w:val="30"/>
          <w:szCs w:val="30"/>
          <w:u w:val="single"/>
        </w:rPr>
        <w:t xml:space="preserve">                                   （盖 章）           </w:t>
      </w:r>
    </w:p>
    <w:p w14:paraId="665C83D1">
      <w:pPr>
        <w:spacing w:line="360" w:lineRule="auto"/>
        <w:rPr>
          <w:rFonts w:cs="宋体" w:asciiTheme="majorEastAsia" w:hAnsiTheme="majorEastAsia" w:eastAsiaTheme="majorEastAsia"/>
          <w:b/>
          <w:sz w:val="30"/>
          <w:szCs w:val="30"/>
        </w:rPr>
      </w:pPr>
    </w:p>
    <w:p w14:paraId="2C44707E">
      <w:pPr>
        <w:spacing w:line="360" w:lineRule="auto"/>
        <w:ind w:firstLine="148" w:firstLineChars="49"/>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法定代表人或委托代理人：</w:t>
      </w:r>
      <w:r>
        <w:rPr>
          <w:rFonts w:hint="eastAsia" w:cs="宋体" w:asciiTheme="majorEastAsia" w:hAnsiTheme="majorEastAsia" w:eastAsiaTheme="majorEastAsia"/>
          <w:b/>
          <w:sz w:val="30"/>
          <w:szCs w:val="30"/>
          <w:u w:val="single"/>
        </w:rPr>
        <w:t xml:space="preserve">                       (签字或盖章)</w:t>
      </w:r>
    </w:p>
    <w:p w14:paraId="193A43F1">
      <w:pPr>
        <w:spacing w:line="360" w:lineRule="auto"/>
        <w:rPr>
          <w:rFonts w:cs="宋体" w:asciiTheme="majorEastAsia" w:hAnsiTheme="majorEastAsia" w:eastAsiaTheme="majorEastAsia"/>
          <w:sz w:val="30"/>
          <w:szCs w:val="30"/>
        </w:rPr>
      </w:pPr>
    </w:p>
    <w:p w14:paraId="701AE10D">
      <w:pPr>
        <w:spacing w:line="360" w:lineRule="auto"/>
        <w:jc w:val="center"/>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日期：</w:t>
      </w:r>
      <w:r>
        <w:rPr>
          <w:rFonts w:hint="eastAsia" w:cs="宋体" w:asciiTheme="majorEastAsia" w:hAnsiTheme="majorEastAsia" w:eastAsiaTheme="majorEastAsia"/>
          <w:b/>
          <w:sz w:val="30"/>
          <w:szCs w:val="30"/>
          <w:u w:val="single"/>
        </w:rPr>
        <w:t xml:space="preserve">    </w:t>
      </w:r>
      <w:r>
        <w:rPr>
          <w:rFonts w:hint="eastAsia" w:cs="宋体" w:asciiTheme="majorEastAsia" w:hAnsiTheme="majorEastAsia" w:eastAsiaTheme="majorEastAsia"/>
          <w:b/>
          <w:sz w:val="30"/>
          <w:szCs w:val="30"/>
        </w:rPr>
        <w:t>年</w:t>
      </w:r>
      <w:r>
        <w:rPr>
          <w:rFonts w:hint="eastAsia" w:cs="宋体" w:asciiTheme="majorEastAsia" w:hAnsiTheme="majorEastAsia" w:eastAsiaTheme="majorEastAsia"/>
          <w:b/>
          <w:sz w:val="30"/>
          <w:szCs w:val="30"/>
          <w:u w:val="single"/>
        </w:rPr>
        <w:t xml:space="preserve">     </w:t>
      </w:r>
      <w:r>
        <w:rPr>
          <w:rFonts w:hint="eastAsia" w:cs="宋体" w:asciiTheme="majorEastAsia" w:hAnsiTheme="majorEastAsia" w:eastAsiaTheme="majorEastAsia"/>
          <w:b/>
          <w:sz w:val="30"/>
          <w:szCs w:val="30"/>
        </w:rPr>
        <w:t>月</w:t>
      </w:r>
      <w:r>
        <w:rPr>
          <w:rFonts w:hint="eastAsia" w:cs="宋体" w:asciiTheme="majorEastAsia" w:hAnsiTheme="majorEastAsia" w:eastAsiaTheme="majorEastAsia"/>
          <w:b/>
          <w:sz w:val="30"/>
          <w:szCs w:val="30"/>
          <w:u w:val="single"/>
        </w:rPr>
        <w:t xml:space="preserve">    </w:t>
      </w:r>
      <w:r>
        <w:rPr>
          <w:rFonts w:hint="eastAsia" w:cs="宋体" w:asciiTheme="majorEastAsia" w:hAnsiTheme="majorEastAsia" w:eastAsiaTheme="majorEastAsia"/>
          <w:b/>
          <w:sz w:val="30"/>
          <w:szCs w:val="30"/>
        </w:rPr>
        <w:t>日</w:t>
      </w:r>
    </w:p>
    <w:p w14:paraId="19C1CA3E">
      <w:pPr>
        <w:widowControl/>
        <w:jc w:val="left"/>
        <w:rPr>
          <w:rFonts w:cs="宋体" w:asciiTheme="majorEastAsia" w:hAnsiTheme="majorEastAsia" w:eastAsiaTheme="majorEastAsia"/>
          <w:b/>
          <w:sz w:val="30"/>
          <w:szCs w:val="30"/>
        </w:rPr>
      </w:pPr>
      <w:r>
        <w:rPr>
          <w:rFonts w:cs="宋体" w:asciiTheme="majorEastAsia" w:hAnsiTheme="majorEastAsia" w:eastAsiaTheme="majorEastAsia"/>
          <w:b/>
          <w:sz w:val="30"/>
          <w:szCs w:val="30"/>
        </w:rPr>
        <w:br w:type="page"/>
      </w:r>
    </w:p>
    <w:p w14:paraId="68BF74E5">
      <w:pPr>
        <w:jc w:val="center"/>
        <w:rPr>
          <w:rFonts w:cs="宋体" w:asciiTheme="majorEastAsia" w:hAnsiTheme="majorEastAsia" w:eastAsiaTheme="majorEastAsia"/>
          <w:b/>
          <w:sz w:val="30"/>
          <w:szCs w:val="30"/>
        </w:rPr>
      </w:pPr>
      <w:r>
        <w:rPr>
          <w:rFonts w:hint="eastAsia" w:cs="宋体" w:asciiTheme="majorEastAsia" w:hAnsiTheme="majorEastAsia" w:eastAsiaTheme="majorEastAsia"/>
          <w:b/>
          <w:sz w:val="30"/>
          <w:szCs w:val="30"/>
        </w:rPr>
        <w:t>目 录</w:t>
      </w:r>
    </w:p>
    <w:p w14:paraId="348069C3">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一、谈判响应函</w:t>
      </w:r>
    </w:p>
    <w:p w14:paraId="73C0A196">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二、服务报价表</w:t>
      </w:r>
    </w:p>
    <w:p w14:paraId="07634216">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三、服务内容及质量要求响应表</w:t>
      </w:r>
    </w:p>
    <w:p w14:paraId="649D9E78">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四、服务方案</w:t>
      </w:r>
    </w:p>
    <w:p w14:paraId="7AC9B582">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五、诚信谈判响应承诺书</w:t>
      </w:r>
    </w:p>
    <w:p w14:paraId="76991A61">
      <w:pPr>
        <w:spacing w:line="480" w:lineRule="auto"/>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六、资格证明文件</w:t>
      </w:r>
    </w:p>
    <w:p w14:paraId="10C36690">
      <w:pPr>
        <w:widowControl/>
        <w:spacing w:line="480" w:lineRule="auto"/>
        <w:jc w:val="left"/>
        <w:rPr>
          <w:rFonts w:cs="宋体" w:asciiTheme="majorEastAsia" w:hAnsiTheme="majorEastAsia" w:eastAsiaTheme="majorEastAsia"/>
          <w:sz w:val="24"/>
        </w:rPr>
      </w:pPr>
      <w:r>
        <w:rPr>
          <w:rFonts w:cs="宋体" w:asciiTheme="majorEastAsia" w:hAnsiTheme="majorEastAsia" w:eastAsiaTheme="majorEastAsia"/>
          <w:sz w:val="24"/>
        </w:rPr>
        <w:br w:type="page"/>
      </w:r>
    </w:p>
    <w:p w14:paraId="50E2CCA7">
      <w:pPr>
        <w:pStyle w:val="5"/>
        <w:jc w:val="center"/>
        <w:rPr>
          <w:rFonts w:cs="宋体" w:asciiTheme="majorEastAsia" w:hAnsiTheme="majorEastAsia" w:eastAsiaTheme="majorEastAsia"/>
        </w:rPr>
      </w:pPr>
      <w:bookmarkStart w:id="38" w:name="_Toc522523990"/>
      <w:bookmarkStart w:id="39" w:name="_Toc13905"/>
      <w:r>
        <w:rPr>
          <w:rFonts w:hint="eastAsia" w:cs="宋体" w:asciiTheme="majorEastAsia" w:hAnsiTheme="majorEastAsia" w:eastAsiaTheme="majorEastAsia"/>
        </w:rPr>
        <w:t>一、谈判响应函</w:t>
      </w:r>
      <w:bookmarkEnd w:id="38"/>
      <w:bookmarkEnd w:id="39"/>
    </w:p>
    <w:p w14:paraId="19B34861">
      <w:pPr>
        <w:tabs>
          <w:tab w:val="left" w:pos="5580"/>
        </w:tabs>
        <w:spacing w:before="120" w:line="360" w:lineRule="auto"/>
        <w:rPr>
          <w:rFonts w:cs="宋体" w:asciiTheme="majorEastAsia" w:hAnsiTheme="majorEastAsia" w:eastAsiaTheme="majorEastAsia"/>
          <w:szCs w:val="21"/>
        </w:rPr>
      </w:pPr>
      <w:r>
        <w:rPr>
          <w:rFonts w:hint="eastAsia" w:cs="宋体" w:asciiTheme="majorEastAsia" w:hAnsiTheme="majorEastAsia" w:eastAsiaTheme="majorEastAsia"/>
          <w:szCs w:val="21"/>
        </w:rPr>
        <w:t>致：</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（采购人名称）</w:t>
      </w:r>
    </w:p>
    <w:p w14:paraId="22BAB5D0">
      <w:pPr>
        <w:pStyle w:val="11"/>
        <w:tabs>
          <w:tab w:val="left" w:pos="5580"/>
        </w:tabs>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1、根据贵方竞争性谈判</w:t>
      </w:r>
      <w:r>
        <w:rPr>
          <w:rFonts w:hint="eastAsia" w:cs="宋体" w:asciiTheme="majorEastAsia" w:hAnsiTheme="majorEastAsia" w:eastAsiaTheme="majorEastAsia"/>
          <w:szCs w:val="21"/>
          <w:lang w:val="en-US" w:eastAsia="zh-CN"/>
        </w:rPr>
        <w:t>公告</w:t>
      </w:r>
      <w:r>
        <w:rPr>
          <w:rFonts w:hint="eastAsia" w:cs="宋体" w:asciiTheme="majorEastAsia" w:hAnsiTheme="majorEastAsia" w:eastAsiaTheme="majorEastAsia"/>
          <w:szCs w:val="21"/>
        </w:rPr>
        <w:t>，我方决定参加贵方组织的</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项目（包</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）的采购活动。我方授权</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(姓名和职务)代表我方</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（谈判响应人的名称）全权处理本项目谈判响应的有关事宜。</w:t>
      </w:r>
    </w:p>
    <w:p w14:paraId="1DBC42FA">
      <w:pPr>
        <w:pStyle w:val="11"/>
        <w:tabs>
          <w:tab w:val="left" w:pos="5580"/>
        </w:tabs>
        <w:spacing w:line="360" w:lineRule="auto"/>
        <w:ind w:firstLine="420" w:firstLineChars="200"/>
        <w:rPr>
          <w:rFonts w:hAnsi="宋体" w:cs="宋体"/>
          <w:szCs w:val="21"/>
        </w:rPr>
      </w:pPr>
      <w:r>
        <w:rPr>
          <w:rFonts w:hint="eastAsia" w:cs="宋体" w:asciiTheme="majorEastAsia" w:hAnsiTheme="majorEastAsia" w:eastAsiaTheme="majorEastAsia"/>
          <w:szCs w:val="21"/>
        </w:rPr>
        <w:t>2、我方愿意按照竞争性谈判文件约定的各项要求，向采购人提供所需服务，首轮</w:t>
      </w:r>
      <w:r>
        <w:rPr>
          <w:rFonts w:hint="eastAsia" w:hAnsi="宋体" w:cs="宋体"/>
          <w:szCs w:val="21"/>
        </w:rPr>
        <w:t>报价为人民币（大写）</w:t>
      </w:r>
      <w:r>
        <w:rPr>
          <w:rFonts w:hint="eastAsia" w:hAnsi="宋体" w:cs="宋体"/>
          <w:szCs w:val="21"/>
          <w:u w:val="single"/>
        </w:rPr>
        <w:t xml:space="preserve">                     </w:t>
      </w:r>
      <w:r>
        <w:rPr>
          <w:rFonts w:hint="eastAsia" w:hAnsi="宋体" w:cs="宋体"/>
          <w:szCs w:val="21"/>
        </w:rPr>
        <w:t>(小写)</w:t>
      </w:r>
      <w:r>
        <w:rPr>
          <w:rFonts w:hint="eastAsia" w:hAnsi="宋体" w:cs="宋体"/>
          <w:szCs w:val="21"/>
          <w:u w:val="single"/>
        </w:rPr>
        <w:t xml:space="preserve">                  元</w:t>
      </w:r>
      <w:r>
        <w:rPr>
          <w:rFonts w:hint="eastAsia" w:hAnsi="宋体" w:cs="宋体"/>
          <w:szCs w:val="21"/>
        </w:rPr>
        <w:t>。</w:t>
      </w:r>
    </w:p>
    <w:p w14:paraId="423ABE19">
      <w:pPr>
        <w:pStyle w:val="11"/>
        <w:tabs>
          <w:tab w:val="left" w:pos="5580"/>
        </w:tabs>
        <w:spacing w:line="360" w:lineRule="auto"/>
        <w:ind w:firstLine="420" w:firstLineChars="200"/>
        <w:jc w:val="left"/>
        <w:rPr>
          <w:rFonts w:cs="宋体" w:asciiTheme="majorEastAsia" w:hAnsiTheme="majorEastAsia" w:eastAsiaTheme="majorEastAsia"/>
          <w:szCs w:val="21"/>
          <w:u w:val="single"/>
        </w:rPr>
      </w:pPr>
      <w:r>
        <w:rPr>
          <w:rFonts w:hint="eastAsia" w:cs="宋体" w:asciiTheme="majorEastAsia" w:hAnsiTheme="majorEastAsia" w:eastAsiaTheme="majorEastAsia"/>
          <w:szCs w:val="21"/>
        </w:rPr>
        <w:t>3、一旦我方成交，我方将严格履行合同约定的责任和义务，</w:t>
      </w:r>
      <w:r>
        <w:rPr>
          <w:rFonts w:hint="eastAsia" w:hAnsi="宋体"/>
          <w:szCs w:val="21"/>
        </w:rPr>
        <w:t>保证该项目的服务期符合本次采购要求。</w:t>
      </w:r>
    </w:p>
    <w:p w14:paraId="5714A8B2">
      <w:pPr>
        <w:pStyle w:val="11"/>
        <w:tabs>
          <w:tab w:val="left" w:pos="5580"/>
        </w:tabs>
        <w:spacing w:line="360" w:lineRule="auto"/>
        <w:ind w:firstLine="396" w:firstLineChars="200"/>
        <w:rPr>
          <w:rFonts w:cs="宋体" w:asciiTheme="majorEastAsia" w:hAnsiTheme="majorEastAsia" w:eastAsiaTheme="majorEastAsia"/>
          <w:szCs w:val="21"/>
        </w:rPr>
      </w:pPr>
      <w:r>
        <w:rPr>
          <w:rFonts w:hint="eastAsia" w:cs="宋体" w:asciiTheme="majorEastAsia" w:hAnsiTheme="majorEastAsia" w:eastAsiaTheme="majorEastAsia"/>
          <w:spacing w:val="-6"/>
          <w:szCs w:val="21"/>
        </w:rPr>
        <w:t>4、我方同意按照竞争性谈判文件的要求，向贵方提交金额为人民币</w:t>
      </w:r>
      <w:r>
        <w:rPr>
          <w:rFonts w:hint="eastAsia" w:cs="宋体" w:asciiTheme="majorEastAsia" w:hAnsiTheme="majorEastAsia" w:eastAsiaTheme="majorEastAsia"/>
          <w:szCs w:val="21"/>
        </w:rPr>
        <w:t>（小写）</w:t>
      </w:r>
      <w:r>
        <w:rPr>
          <w:rFonts w:hint="eastAsia" w:cs="宋体" w:asciiTheme="majorEastAsia" w:hAnsiTheme="majorEastAsia" w:eastAsiaTheme="majorEastAsia"/>
          <w:szCs w:val="21"/>
          <w:u w:val="single"/>
        </w:rPr>
        <w:t>　　　　　　　　元</w:t>
      </w:r>
      <w:r>
        <w:rPr>
          <w:rFonts w:hint="eastAsia" w:cs="宋体" w:asciiTheme="majorEastAsia" w:hAnsiTheme="majorEastAsia" w:eastAsiaTheme="majorEastAsia"/>
          <w:szCs w:val="21"/>
        </w:rPr>
        <w:t>的谈判响应保证金，并且承诺遵守竞争性谈判文件中有关谈判响应保证金的约定。</w:t>
      </w:r>
    </w:p>
    <w:p w14:paraId="07745314">
      <w:pPr>
        <w:pStyle w:val="11"/>
        <w:tabs>
          <w:tab w:val="left" w:pos="5580"/>
        </w:tabs>
        <w:spacing w:line="360" w:lineRule="auto"/>
        <w:ind w:firstLine="417" w:firstLineChars="199"/>
        <w:rPr>
          <w:rFonts w:cs="宋体" w:asciiTheme="majorEastAsia" w:hAnsiTheme="majorEastAsia" w:eastAsiaTheme="majorEastAsia"/>
          <w:szCs w:val="21"/>
        </w:rPr>
      </w:pPr>
      <w:r>
        <w:rPr>
          <w:rFonts w:hint="eastAsia" w:cs="宋体" w:asciiTheme="majorEastAsia" w:hAnsiTheme="majorEastAsia" w:eastAsiaTheme="majorEastAsia"/>
          <w:szCs w:val="21"/>
        </w:rPr>
        <w:t>5、我方愿意提供贵方可能另外要求的、与谈判响应有关的文件资料，并保证我方已提供和将要提供的文件是真实的、准确的。</w:t>
      </w:r>
    </w:p>
    <w:p w14:paraId="237F6D15">
      <w:pPr>
        <w:pStyle w:val="11"/>
        <w:tabs>
          <w:tab w:val="left" w:pos="5580"/>
        </w:tabs>
        <w:spacing w:line="360" w:lineRule="auto"/>
        <w:ind w:firstLine="417" w:firstLineChars="199"/>
        <w:rPr>
          <w:rFonts w:cs="宋体" w:asciiTheme="majorEastAsia" w:hAnsiTheme="majorEastAsia" w:eastAsiaTheme="majorEastAsia"/>
          <w:szCs w:val="21"/>
        </w:rPr>
      </w:pPr>
      <w:r>
        <w:rPr>
          <w:rFonts w:hint="eastAsia" w:cs="宋体" w:asciiTheme="majorEastAsia" w:hAnsiTheme="majorEastAsia" w:eastAsiaTheme="majorEastAsia"/>
          <w:szCs w:val="21"/>
        </w:rPr>
        <w:t>6、我方完全理解贵方不一定将合同授予最低报价的谈判响应人。</w:t>
      </w:r>
    </w:p>
    <w:p w14:paraId="26767B7C">
      <w:pPr>
        <w:pStyle w:val="11"/>
        <w:tabs>
          <w:tab w:val="left" w:pos="5580"/>
        </w:tabs>
        <w:spacing w:line="360" w:lineRule="auto"/>
        <w:ind w:right="360" w:firstLine="3570" w:firstLineChars="1700"/>
        <w:rPr>
          <w:rFonts w:cs="宋体" w:asciiTheme="majorEastAsia" w:hAnsiTheme="majorEastAsia" w:eastAsiaTheme="majorEastAsia"/>
          <w:szCs w:val="21"/>
        </w:rPr>
      </w:pPr>
    </w:p>
    <w:p w14:paraId="705BDD88">
      <w:pPr>
        <w:pStyle w:val="11"/>
        <w:tabs>
          <w:tab w:val="left" w:pos="5580"/>
        </w:tabs>
        <w:spacing w:line="360" w:lineRule="auto"/>
        <w:ind w:right="360" w:firstLine="3570" w:firstLineChars="1700"/>
        <w:rPr>
          <w:rFonts w:cs="宋体" w:asciiTheme="majorEastAsia" w:hAnsiTheme="majorEastAsia" w:eastAsiaTheme="majorEastAsia"/>
          <w:szCs w:val="21"/>
        </w:rPr>
      </w:pPr>
    </w:p>
    <w:p w14:paraId="402F65EB">
      <w:pPr>
        <w:pStyle w:val="11"/>
        <w:tabs>
          <w:tab w:val="left" w:pos="5580"/>
        </w:tabs>
        <w:spacing w:line="360" w:lineRule="auto"/>
        <w:ind w:right="360" w:firstLine="3570" w:firstLineChars="1700"/>
        <w:rPr>
          <w:rFonts w:cs="宋体" w:asciiTheme="majorEastAsia" w:hAnsiTheme="majorEastAsia" w:eastAsiaTheme="majorEastAsia"/>
          <w:szCs w:val="21"/>
          <w:u w:val="single"/>
        </w:rPr>
      </w:pPr>
      <w:r>
        <w:rPr>
          <w:rFonts w:hint="eastAsia" w:cs="宋体" w:asciiTheme="majorEastAsia" w:hAnsiTheme="majorEastAsia" w:eastAsiaTheme="majorEastAsia"/>
          <w:szCs w:val="21"/>
        </w:rPr>
        <w:t>谈判响应人：</w:t>
      </w:r>
      <w:r>
        <w:rPr>
          <w:rFonts w:hint="eastAsia" w:cs="宋体" w:asciiTheme="majorEastAsia" w:hAnsiTheme="majorEastAsia" w:eastAsiaTheme="majorEastAsia"/>
          <w:szCs w:val="21"/>
          <w:u w:val="single"/>
        </w:rPr>
        <w:t xml:space="preserve">                           （盖章） </w:t>
      </w:r>
    </w:p>
    <w:p w14:paraId="0B531B4E">
      <w:pPr>
        <w:pStyle w:val="11"/>
        <w:tabs>
          <w:tab w:val="left" w:pos="5580"/>
        </w:tabs>
        <w:spacing w:line="360" w:lineRule="auto"/>
        <w:ind w:firstLine="420" w:firstLineChars="200"/>
        <w:rPr>
          <w:rFonts w:cs="宋体" w:asciiTheme="majorEastAsia" w:hAnsiTheme="majorEastAsia" w:eastAsiaTheme="majorEastAsia"/>
          <w:szCs w:val="21"/>
          <w:u w:val="single"/>
        </w:rPr>
      </w:pPr>
      <w:r>
        <w:rPr>
          <w:rFonts w:hint="eastAsia" w:cs="宋体" w:asciiTheme="majorEastAsia" w:hAnsiTheme="majorEastAsia" w:eastAsiaTheme="majorEastAsia"/>
          <w:szCs w:val="21"/>
        </w:rPr>
        <w:t xml:space="preserve">                              单位地址：</w:t>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ab/>
      </w:r>
      <w:r>
        <w:rPr>
          <w:rFonts w:hint="eastAsia" w:cs="宋体" w:asciiTheme="majorEastAsia" w:hAnsiTheme="majorEastAsia" w:eastAsiaTheme="majorEastAsia"/>
          <w:szCs w:val="21"/>
          <w:u w:val="single"/>
        </w:rPr>
        <w:t xml:space="preserve">      </w:t>
      </w:r>
    </w:p>
    <w:p w14:paraId="4072B6D5">
      <w:pPr>
        <w:spacing w:line="360" w:lineRule="auto"/>
        <w:ind w:firstLine="3465" w:firstLineChars="1650"/>
        <w:rPr>
          <w:rFonts w:ascii="宋体" w:hAnsi="宋体" w:cs="宋体"/>
          <w:szCs w:val="21"/>
        </w:rPr>
      </w:pPr>
      <w:r>
        <w:rPr>
          <w:rFonts w:hint="eastAsia" w:cs="宋体" w:asciiTheme="majorEastAsia" w:hAnsiTheme="majorEastAsia" w:eastAsiaTheme="majorEastAsia"/>
          <w:szCs w:val="21"/>
        </w:rPr>
        <w:t xml:space="preserve"> </w:t>
      </w: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38AE56B5">
      <w:pPr>
        <w:pStyle w:val="11"/>
        <w:tabs>
          <w:tab w:val="left" w:pos="5580"/>
        </w:tabs>
        <w:spacing w:line="360" w:lineRule="auto"/>
        <w:ind w:firstLine="420" w:firstLineChars="200"/>
        <w:rPr>
          <w:rFonts w:cs="宋体" w:asciiTheme="majorEastAsia" w:hAnsiTheme="majorEastAsia" w:eastAsiaTheme="majorEastAsia"/>
          <w:szCs w:val="21"/>
          <w:u w:val="single"/>
        </w:rPr>
      </w:pPr>
    </w:p>
    <w:p w14:paraId="33EF93DF">
      <w:pPr>
        <w:pStyle w:val="11"/>
        <w:tabs>
          <w:tab w:val="left" w:pos="5580"/>
        </w:tabs>
        <w:spacing w:line="360" w:lineRule="auto"/>
        <w:ind w:firstLine="3570" w:firstLineChars="1700"/>
        <w:rPr>
          <w:rFonts w:cs="宋体" w:asciiTheme="majorEastAsia" w:hAnsiTheme="majorEastAsia" w:eastAsiaTheme="majorEastAsia"/>
          <w:szCs w:val="21"/>
        </w:rPr>
      </w:pPr>
      <w:r>
        <w:rPr>
          <w:rFonts w:hint="eastAsia" w:cs="宋体" w:asciiTheme="majorEastAsia" w:hAnsiTheme="majorEastAsia" w:eastAsiaTheme="majorEastAsia"/>
          <w:szCs w:val="21"/>
        </w:rPr>
        <w:t>日期：          年      月      日</w:t>
      </w:r>
    </w:p>
    <w:p w14:paraId="6CEF5F79">
      <w:pPr>
        <w:spacing w:line="360" w:lineRule="auto"/>
        <w:ind w:firstLine="480" w:firstLineChars="200"/>
        <w:jc w:val="center"/>
        <w:rPr>
          <w:rFonts w:cs="宋体" w:asciiTheme="majorEastAsia" w:hAnsiTheme="majorEastAsia" w:eastAsiaTheme="majorEastAsia"/>
          <w:sz w:val="24"/>
        </w:rPr>
      </w:pPr>
    </w:p>
    <w:p w14:paraId="1AD8F331">
      <w:pPr>
        <w:spacing w:line="360" w:lineRule="auto"/>
        <w:ind w:firstLine="480" w:firstLineChars="200"/>
        <w:jc w:val="center"/>
        <w:rPr>
          <w:rFonts w:cs="宋体" w:asciiTheme="majorEastAsia" w:hAnsiTheme="majorEastAsia" w:eastAsiaTheme="majorEastAsia"/>
          <w:sz w:val="24"/>
        </w:rPr>
      </w:pPr>
    </w:p>
    <w:p w14:paraId="72682A02">
      <w:pPr>
        <w:spacing w:line="360" w:lineRule="auto"/>
        <w:ind w:firstLine="480" w:firstLineChars="200"/>
        <w:jc w:val="center"/>
        <w:rPr>
          <w:rFonts w:cs="宋体" w:asciiTheme="majorEastAsia" w:hAnsiTheme="majorEastAsia" w:eastAsiaTheme="majorEastAsia"/>
          <w:sz w:val="24"/>
        </w:rPr>
      </w:pPr>
    </w:p>
    <w:p w14:paraId="634413C4">
      <w:pPr>
        <w:spacing w:line="360" w:lineRule="auto"/>
        <w:ind w:firstLine="480" w:firstLineChars="200"/>
        <w:jc w:val="center"/>
        <w:rPr>
          <w:rFonts w:cs="宋体" w:asciiTheme="majorEastAsia" w:hAnsiTheme="majorEastAsia" w:eastAsiaTheme="majorEastAsia"/>
          <w:sz w:val="24"/>
        </w:rPr>
      </w:pPr>
    </w:p>
    <w:p w14:paraId="26CD49F2">
      <w:pPr>
        <w:spacing w:line="360" w:lineRule="auto"/>
        <w:rPr>
          <w:rFonts w:cs="宋体" w:asciiTheme="majorEastAsia" w:hAnsiTheme="majorEastAsia" w:eastAsiaTheme="majorEastAsia"/>
          <w:sz w:val="24"/>
        </w:rPr>
      </w:pPr>
    </w:p>
    <w:p w14:paraId="0C546714">
      <w:pPr>
        <w:spacing w:line="360" w:lineRule="auto"/>
        <w:rPr>
          <w:rFonts w:cs="宋体" w:asciiTheme="majorEastAsia" w:hAnsiTheme="majorEastAsia" w:eastAsiaTheme="majorEastAsia"/>
          <w:sz w:val="24"/>
        </w:rPr>
      </w:pPr>
    </w:p>
    <w:p w14:paraId="6DC4EBF0">
      <w:pPr>
        <w:spacing w:line="360" w:lineRule="auto"/>
        <w:rPr>
          <w:rFonts w:cs="宋体" w:asciiTheme="majorEastAsia" w:hAnsiTheme="majorEastAsia" w:eastAsiaTheme="majorEastAsia"/>
          <w:sz w:val="24"/>
        </w:rPr>
      </w:pPr>
    </w:p>
    <w:p w14:paraId="6AD2C27E">
      <w:pPr>
        <w:spacing w:line="360" w:lineRule="auto"/>
        <w:rPr>
          <w:rFonts w:cs="宋体" w:asciiTheme="majorEastAsia" w:hAnsiTheme="majorEastAsia" w:eastAsiaTheme="majorEastAsia"/>
          <w:sz w:val="24"/>
        </w:rPr>
      </w:pPr>
    </w:p>
    <w:p w14:paraId="38410934">
      <w:pPr>
        <w:pStyle w:val="4"/>
      </w:pPr>
      <w:bookmarkStart w:id="40" w:name="_Toc12161"/>
      <w:bookmarkStart w:id="41" w:name="_Toc4481602"/>
      <w:bookmarkStart w:id="42" w:name="_Toc522523992"/>
      <w:bookmarkStart w:id="43" w:name="_Toc10635"/>
      <w:bookmarkStart w:id="44" w:name="_Toc15489"/>
      <w:r>
        <w:rPr>
          <w:rFonts w:hint="eastAsia"/>
        </w:rPr>
        <w:t>二、服务报价表</w:t>
      </w:r>
      <w:bookmarkEnd w:id="40"/>
      <w:bookmarkEnd w:id="41"/>
      <w:r>
        <w:rPr>
          <w:rFonts w:hint="eastAsia"/>
        </w:rPr>
        <w:t>（首轮）</w:t>
      </w:r>
    </w:p>
    <w:tbl>
      <w:tblPr>
        <w:tblStyle w:val="23"/>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6610"/>
      </w:tblGrid>
      <w:tr w14:paraId="6A3E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jc w:val="center"/>
        </w:trPr>
        <w:tc>
          <w:tcPr>
            <w:tcW w:w="2449" w:type="dxa"/>
            <w:tcBorders>
              <w:top w:val="single" w:color="auto" w:sz="4" w:space="0"/>
              <w:bottom w:val="single" w:color="auto" w:sz="4" w:space="0"/>
              <w:right w:val="single" w:color="auto" w:sz="4" w:space="0"/>
            </w:tcBorders>
            <w:vAlign w:val="center"/>
          </w:tcPr>
          <w:p w14:paraId="4463419F">
            <w:pPr>
              <w:kinsoku w:val="0"/>
              <w:spacing w:line="360" w:lineRule="exact"/>
              <w:jc w:val="center"/>
              <w:rPr>
                <w:rFonts w:ascii="宋体" w:hAnsi="宋体"/>
                <w:sz w:val="24"/>
              </w:rPr>
            </w:pPr>
            <w:r>
              <w:rPr>
                <w:rFonts w:hint="eastAsia" w:ascii="宋体" w:hAnsi="宋体"/>
                <w:szCs w:val="21"/>
              </w:rPr>
              <w:t xml:space="preserve"> </w:t>
            </w:r>
            <w:r>
              <w:rPr>
                <w:rFonts w:hint="eastAsia" w:ascii="宋体" w:hAnsi="宋体"/>
                <w:sz w:val="24"/>
              </w:rPr>
              <w:t>项 目 名 称</w:t>
            </w:r>
          </w:p>
        </w:tc>
        <w:tc>
          <w:tcPr>
            <w:tcW w:w="6610" w:type="dxa"/>
            <w:tcBorders>
              <w:top w:val="single" w:color="auto" w:sz="4" w:space="0"/>
              <w:bottom w:val="single" w:color="auto" w:sz="4" w:space="0"/>
              <w:right w:val="single" w:color="auto" w:sz="4" w:space="0"/>
            </w:tcBorders>
            <w:vAlign w:val="center"/>
          </w:tcPr>
          <w:p w14:paraId="48FD6187">
            <w:pPr>
              <w:kinsoku w:val="0"/>
              <w:spacing w:line="360" w:lineRule="exact"/>
              <w:jc w:val="center"/>
              <w:rPr>
                <w:rFonts w:ascii="宋体" w:hAnsi="宋体"/>
                <w:sz w:val="24"/>
                <w:u w:val="single"/>
              </w:rPr>
            </w:pPr>
          </w:p>
        </w:tc>
      </w:tr>
      <w:tr w14:paraId="5CA11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atLeast"/>
          <w:jc w:val="center"/>
        </w:trPr>
        <w:tc>
          <w:tcPr>
            <w:tcW w:w="2449" w:type="dxa"/>
            <w:tcBorders>
              <w:top w:val="nil"/>
            </w:tcBorders>
            <w:vAlign w:val="center"/>
          </w:tcPr>
          <w:p w14:paraId="244DB1BD">
            <w:pPr>
              <w:kinsoku w:val="0"/>
              <w:spacing w:line="360" w:lineRule="exact"/>
              <w:jc w:val="center"/>
              <w:rPr>
                <w:rFonts w:ascii="宋体" w:hAnsi="宋体"/>
                <w:sz w:val="24"/>
              </w:rPr>
            </w:pPr>
            <w:r>
              <w:rPr>
                <w:rFonts w:hint="eastAsia" w:ascii="宋体" w:hAnsi="宋体"/>
                <w:sz w:val="24"/>
              </w:rPr>
              <w:t>谈判响应人名称</w:t>
            </w:r>
          </w:p>
        </w:tc>
        <w:tc>
          <w:tcPr>
            <w:tcW w:w="6610" w:type="dxa"/>
            <w:tcBorders>
              <w:top w:val="nil"/>
            </w:tcBorders>
            <w:vAlign w:val="center"/>
          </w:tcPr>
          <w:p w14:paraId="50A79ACC">
            <w:pPr>
              <w:kinsoku w:val="0"/>
              <w:spacing w:line="360" w:lineRule="auto"/>
              <w:ind w:left="420" w:leftChars="200"/>
              <w:jc w:val="center"/>
              <w:rPr>
                <w:rFonts w:ascii="宋体" w:hAnsi="宋体"/>
                <w:sz w:val="24"/>
              </w:rPr>
            </w:pPr>
          </w:p>
        </w:tc>
      </w:tr>
      <w:tr w14:paraId="46BC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8" w:hRule="atLeast"/>
          <w:jc w:val="center"/>
        </w:trPr>
        <w:tc>
          <w:tcPr>
            <w:tcW w:w="2449" w:type="dxa"/>
            <w:tcBorders>
              <w:top w:val="nil"/>
              <w:bottom w:val="single" w:color="auto" w:sz="4" w:space="0"/>
            </w:tcBorders>
            <w:vAlign w:val="center"/>
          </w:tcPr>
          <w:p w14:paraId="7006A621">
            <w:pPr>
              <w:kinsoku w:val="0"/>
              <w:spacing w:line="360" w:lineRule="exact"/>
              <w:jc w:val="center"/>
              <w:rPr>
                <w:rFonts w:ascii="宋体" w:hAnsi="宋体"/>
                <w:sz w:val="24"/>
              </w:rPr>
            </w:pPr>
            <w:r>
              <w:rPr>
                <w:rFonts w:hint="eastAsia" w:ascii="宋体" w:hAnsi="宋体"/>
                <w:sz w:val="24"/>
              </w:rPr>
              <w:t>谈判报价</w:t>
            </w:r>
          </w:p>
        </w:tc>
        <w:tc>
          <w:tcPr>
            <w:tcW w:w="6610" w:type="dxa"/>
            <w:tcBorders>
              <w:top w:val="nil"/>
              <w:bottom w:val="single" w:color="auto" w:sz="4" w:space="0"/>
            </w:tcBorders>
            <w:vAlign w:val="center"/>
          </w:tcPr>
          <w:p w14:paraId="22A4C9ED">
            <w:pPr>
              <w:kinsoku w:val="0"/>
              <w:spacing w:line="360" w:lineRule="auto"/>
              <w:ind w:left="420" w:leftChars="200"/>
              <w:jc w:val="left"/>
              <w:rPr>
                <w:rFonts w:ascii="宋体" w:hAnsi="宋体"/>
                <w:sz w:val="24"/>
              </w:rPr>
            </w:pPr>
            <w:r>
              <w:rPr>
                <w:rFonts w:hint="eastAsia" w:ascii="宋体" w:hAnsi="宋体"/>
                <w:sz w:val="24"/>
              </w:rPr>
              <w:t xml:space="preserve">大写：              </w:t>
            </w:r>
          </w:p>
          <w:p w14:paraId="5EA75788">
            <w:pPr>
              <w:kinsoku w:val="0"/>
              <w:spacing w:line="360" w:lineRule="auto"/>
              <w:ind w:left="420" w:leftChars="200"/>
              <w:jc w:val="left"/>
              <w:rPr>
                <w:rFonts w:ascii="宋体" w:hAnsi="宋体"/>
                <w:sz w:val="24"/>
              </w:rPr>
            </w:pPr>
            <w:r>
              <w:rPr>
                <w:rFonts w:hint="eastAsia" w:ascii="宋体" w:hAnsi="宋体"/>
                <w:sz w:val="24"/>
              </w:rPr>
              <w:t>小写：</w:t>
            </w:r>
          </w:p>
        </w:tc>
      </w:tr>
      <w:tr w14:paraId="6D69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449" w:type="dxa"/>
            <w:tcBorders>
              <w:top w:val="single" w:color="auto" w:sz="4" w:space="0"/>
              <w:bottom w:val="single" w:color="auto" w:sz="4" w:space="0"/>
            </w:tcBorders>
            <w:vAlign w:val="center"/>
          </w:tcPr>
          <w:p w14:paraId="39DDFBF0">
            <w:pPr>
              <w:kinsoku w:val="0"/>
              <w:spacing w:line="360" w:lineRule="exact"/>
              <w:jc w:val="center"/>
              <w:rPr>
                <w:rFonts w:ascii="宋体" w:hAnsi="宋体"/>
                <w:sz w:val="24"/>
              </w:rPr>
            </w:pPr>
            <w:r>
              <w:rPr>
                <w:rFonts w:hint="eastAsia" w:ascii="宋体" w:hAnsi="宋体"/>
                <w:sz w:val="24"/>
              </w:rPr>
              <w:t>服务期</w:t>
            </w:r>
          </w:p>
        </w:tc>
        <w:tc>
          <w:tcPr>
            <w:tcW w:w="6610" w:type="dxa"/>
            <w:tcBorders>
              <w:top w:val="single" w:color="auto" w:sz="4" w:space="0"/>
              <w:bottom w:val="single" w:color="auto" w:sz="4" w:space="0"/>
            </w:tcBorders>
            <w:vAlign w:val="center"/>
          </w:tcPr>
          <w:p w14:paraId="6B63BD1D">
            <w:pPr>
              <w:kinsoku w:val="0"/>
              <w:spacing w:line="360" w:lineRule="exact"/>
              <w:jc w:val="center"/>
              <w:rPr>
                <w:rFonts w:ascii="宋体" w:hAnsi="宋体"/>
                <w:sz w:val="24"/>
              </w:rPr>
            </w:pPr>
          </w:p>
        </w:tc>
      </w:tr>
      <w:tr w14:paraId="569A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6" w:hRule="atLeast"/>
          <w:jc w:val="center"/>
        </w:trPr>
        <w:tc>
          <w:tcPr>
            <w:tcW w:w="2449" w:type="dxa"/>
            <w:tcBorders>
              <w:top w:val="single" w:color="auto" w:sz="4" w:space="0"/>
              <w:bottom w:val="single" w:color="auto" w:sz="4" w:space="0"/>
            </w:tcBorders>
            <w:vAlign w:val="center"/>
          </w:tcPr>
          <w:p w14:paraId="15083F14">
            <w:pPr>
              <w:kinsoku w:val="0"/>
              <w:spacing w:line="360" w:lineRule="exact"/>
              <w:jc w:val="center"/>
              <w:rPr>
                <w:rFonts w:ascii="宋体" w:hAnsi="宋体"/>
                <w:sz w:val="24"/>
              </w:rPr>
            </w:pPr>
            <w:r>
              <w:rPr>
                <w:rFonts w:hint="eastAsia" w:ascii="宋体" w:hAnsi="宋体"/>
                <w:sz w:val="24"/>
              </w:rPr>
              <w:t>其他承诺</w:t>
            </w:r>
          </w:p>
        </w:tc>
        <w:tc>
          <w:tcPr>
            <w:tcW w:w="6610" w:type="dxa"/>
            <w:tcBorders>
              <w:top w:val="single" w:color="auto" w:sz="4" w:space="0"/>
              <w:bottom w:val="single" w:color="auto" w:sz="4" w:space="0"/>
            </w:tcBorders>
            <w:vAlign w:val="center"/>
          </w:tcPr>
          <w:p w14:paraId="7A3C7FEE">
            <w:pPr>
              <w:kinsoku w:val="0"/>
              <w:spacing w:line="360" w:lineRule="exact"/>
              <w:jc w:val="center"/>
              <w:rPr>
                <w:rFonts w:ascii="宋体" w:hAnsi="宋体"/>
                <w:sz w:val="24"/>
              </w:rPr>
            </w:pPr>
          </w:p>
        </w:tc>
      </w:tr>
      <w:tr w14:paraId="29AD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9059" w:type="dxa"/>
            <w:gridSpan w:val="2"/>
            <w:tcBorders>
              <w:top w:val="single" w:color="auto" w:sz="4" w:space="0"/>
            </w:tcBorders>
            <w:vAlign w:val="center"/>
          </w:tcPr>
          <w:p w14:paraId="33A94588">
            <w:pPr>
              <w:kinsoku w:val="0"/>
              <w:spacing w:line="360" w:lineRule="exact"/>
              <w:jc w:val="left"/>
              <w:rPr>
                <w:rFonts w:ascii="宋体" w:hAnsi="宋体"/>
                <w:sz w:val="24"/>
              </w:rPr>
            </w:pPr>
            <w:r>
              <w:rPr>
                <w:rFonts w:hint="eastAsia" w:ascii="宋体" w:hAnsi="宋体"/>
                <w:sz w:val="24"/>
              </w:rPr>
              <w:t>备注：</w:t>
            </w:r>
          </w:p>
          <w:p w14:paraId="64D98B6C">
            <w:pPr>
              <w:kinsoku w:val="0"/>
              <w:spacing w:line="360" w:lineRule="exact"/>
              <w:jc w:val="center"/>
              <w:rPr>
                <w:rFonts w:ascii="宋体" w:hAnsi="宋体"/>
                <w:sz w:val="24"/>
              </w:rPr>
            </w:pPr>
          </w:p>
        </w:tc>
      </w:tr>
    </w:tbl>
    <w:p w14:paraId="42790D89">
      <w:pPr>
        <w:spacing w:line="360" w:lineRule="auto"/>
        <w:rPr>
          <w:rFonts w:ascii="宋体" w:hAnsi="宋体" w:cs="宋体"/>
          <w:b/>
          <w:bCs/>
          <w:szCs w:val="21"/>
        </w:rPr>
      </w:pPr>
    </w:p>
    <w:p w14:paraId="63B819CD">
      <w:pPr>
        <w:spacing w:line="360" w:lineRule="auto"/>
        <w:rPr>
          <w:rFonts w:ascii="宋体" w:hAnsi="宋体" w:cs="宋体"/>
          <w:b/>
          <w:bCs/>
          <w:szCs w:val="21"/>
        </w:rPr>
      </w:pPr>
    </w:p>
    <w:p w14:paraId="54409EE1">
      <w:pPr>
        <w:spacing w:line="360" w:lineRule="auto"/>
        <w:rPr>
          <w:rFonts w:ascii="宋体" w:hAnsi="宋体" w:cs="宋体"/>
          <w:b/>
          <w:bCs/>
          <w:szCs w:val="21"/>
        </w:rPr>
      </w:pPr>
      <w:r>
        <w:rPr>
          <w:rFonts w:hint="eastAsia" w:ascii="宋体" w:hAnsi="宋体" w:cs="宋体"/>
          <w:b/>
          <w:bCs/>
          <w:szCs w:val="21"/>
        </w:rPr>
        <w:t>注：谈判响应人可根据实际情况自行填写，但必须注明具体的细目内容，栏目不够可自行添加。</w:t>
      </w:r>
    </w:p>
    <w:p w14:paraId="096DFEFC">
      <w:pPr>
        <w:spacing w:line="360" w:lineRule="auto"/>
        <w:rPr>
          <w:rFonts w:ascii="宋体" w:hAnsi="宋体"/>
          <w:szCs w:val="21"/>
        </w:rPr>
      </w:pPr>
    </w:p>
    <w:p w14:paraId="2837D672">
      <w:pPr>
        <w:spacing w:line="360" w:lineRule="auto"/>
        <w:rPr>
          <w:rFonts w:ascii="宋体" w:hAnsi="宋体"/>
          <w:szCs w:val="21"/>
        </w:rPr>
      </w:pPr>
      <w:r>
        <w:rPr>
          <w:rFonts w:hint="eastAsia" w:ascii="宋体" w:hAnsi="宋体"/>
          <w:szCs w:val="21"/>
        </w:rPr>
        <w:t xml:space="preserve">  </w:t>
      </w:r>
    </w:p>
    <w:p w14:paraId="31458651">
      <w:pPr>
        <w:spacing w:line="360" w:lineRule="auto"/>
        <w:ind w:firstLine="3979" w:firstLineChars="1895"/>
        <w:rPr>
          <w:rFonts w:ascii="宋体" w:hAnsi="宋体"/>
          <w:szCs w:val="21"/>
        </w:rPr>
      </w:pPr>
      <w:r>
        <w:rPr>
          <w:rFonts w:hint="eastAsia" w:ascii="宋体" w:hAnsi="宋体" w:cs="宋体"/>
          <w:szCs w:val="21"/>
        </w:rPr>
        <w:t>谈判响应人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（盖章）</w:t>
      </w:r>
    </w:p>
    <w:p w14:paraId="1F2D11BA">
      <w:pPr>
        <w:spacing w:line="360" w:lineRule="auto"/>
        <w:ind w:firstLine="3561" w:firstLineChars="1696"/>
        <w:rPr>
          <w:rFonts w:ascii="宋体" w:hAnsi="宋体"/>
          <w:szCs w:val="21"/>
        </w:rPr>
      </w:pPr>
    </w:p>
    <w:p w14:paraId="7089333B">
      <w:pPr>
        <w:spacing w:line="360" w:lineRule="auto"/>
        <w:ind w:firstLine="3990" w:firstLineChars="1900"/>
        <w:rPr>
          <w:rFonts w:ascii="宋体" w:hAnsi="宋体"/>
          <w:szCs w:val="21"/>
        </w:rPr>
      </w:pPr>
      <w:r>
        <w:rPr>
          <w:rFonts w:hint="eastAsia" w:ascii="宋体" w:hAnsi="宋体"/>
          <w:szCs w:val="21"/>
        </w:rPr>
        <w:t>法定代表人</w:t>
      </w:r>
      <w:r>
        <w:rPr>
          <w:rFonts w:hint="eastAsia" w:ascii="宋体" w:hAnsi="宋体" w:cs="宋体"/>
          <w:szCs w:val="21"/>
        </w:rPr>
        <w:t>或委托代理人</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cs="宋体"/>
          <w:szCs w:val="21"/>
        </w:rPr>
        <w:t>签字或</w:t>
      </w:r>
      <w:r>
        <w:rPr>
          <w:rFonts w:hint="eastAsia" w:ascii="宋体" w:hAnsi="宋体"/>
          <w:szCs w:val="21"/>
        </w:rPr>
        <w:t>盖章）</w:t>
      </w:r>
    </w:p>
    <w:p w14:paraId="51B56634">
      <w:pPr>
        <w:spacing w:line="360" w:lineRule="auto"/>
        <w:ind w:firstLine="3570" w:firstLineChars="1700"/>
        <w:rPr>
          <w:rFonts w:ascii="宋体" w:hAnsi="宋体"/>
          <w:szCs w:val="21"/>
        </w:rPr>
      </w:pPr>
    </w:p>
    <w:p w14:paraId="7E84ECA7">
      <w:pPr>
        <w:spacing w:line="360" w:lineRule="auto"/>
        <w:ind w:firstLine="3990" w:firstLineChars="1900"/>
        <w:rPr>
          <w:b/>
          <w:bCs/>
          <w:sz w:val="30"/>
          <w:szCs w:val="30"/>
        </w:rPr>
      </w:pPr>
      <w:r>
        <w:rPr>
          <w:rFonts w:hint="eastAsia"/>
          <w:szCs w:val="21"/>
        </w:rPr>
        <w:t>日  期：</w:t>
      </w:r>
      <w:r>
        <w:rPr>
          <w:rFonts w:hint="eastAsia"/>
          <w:szCs w:val="21"/>
          <w:u w:val="single"/>
        </w:rPr>
        <w:t xml:space="preserve">      </w:t>
      </w:r>
      <w:r>
        <w:rPr>
          <w:rFonts w:hint="eastAsia"/>
          <w:szCs w:val="21"/>
        </w:rPr>
        <w:t xml:space="preserve">年 </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bookmarkEnd w:id="42"/>
      <w:bookmarkEnd w:id="43"/>
      <w:bookmarkEnd w:id="44"/>
    </w:p>
    <w:p w14:paraId="164BFEA9">
      <w:pPr>
        <w:pStyle w:val="8"/>
        <w:jc w:val="center"/>
        <w:rPr>
          <w:b/>
          <w:bCs/>
          <w:sz w:val="30"/>
          <w:szCs w:val="30"/>
        </w:rPr>
      </w:pPr>
    </w:p>
    <w:p w14:paraId="4007D82D">
      <w:pPr>
        <w:pStyle w:val="8"/>
        <w:jc w:val="center"/>
        <w:rPr>
          <w:b/>
          <w:bCs/>
          <w:sz w:val="30"/>
          <w:szCs w:val="30"/>
        </w:rPr>
      </w:pPr>
    </w:p>
    <w:p w14:paraId="5788F816">
      <w:pPr>
        <w:pStyle w:val="8"/>
        <w:jc w:val="center"/>
        <w:rPr>
          <w:b/>
          <w:bCs/>
          <w:sz w:val="30"/>
          <w:szCs w:val="30"/>
        </w:rPr>
      </w:pPr>
      <w:r>
        <w:rPr>
          <w:rFonts w:hint="eastAsia"/>
          <w:b/>
          <w:bCs/>
          <w:sz w:val="30"/>
          <w:szCs w:val="30"/>
        </w:rPr>
        <w:t>最终报价表</w:t>
      </w:r>
    </w:p>
    <w:tbl>
      <w:tblPr>
        <w:tblStyle w:val="23"/>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6727"/>
      </w:tblGrid>
      <w:tr w14:paraId="0985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2492" w:type="dxa"/>
            <w:tcBorders>
              <w:top w:val="single" w:color="auto" w:sz="4" w:space="0"/>
              <w:bottom w:val="single" w:color="auto" w:sz="4" w:space="0"/>
              <w:right w:val="single" w:color="auto" w:sz="4" w:space="0"/>
            </w:tcBorders>
            <w:vAlign w:val="center"/>
          </w:tcPr>
          <w:p w14:paraId="1AE67747">
            <w:pPr>
              <w:kinsoku w:val="0"/>
              <w:spacing w:line="360" w:lineRule="exact"/>
              <w:jc w:val="center"/>
              <w:rPr>
                <w:rFonts w:ascii="宋体" w:hAnsi="宋体"/>
                <w:sz w:val="24"/>
              </w:rPr>
            </w:pPr>
            <w:r>
              <w:rPr>
                <w:rFonts w:hint="eastAsia" w:ascii="宋体" w:hAnsi="宋体"/>
                <w:szCs w:val="21"/>
              </w:rPr>
              <w:t xml:space="preserve"> </w:t>
            </w:r>
            <w:r>
              <w:rPr>
                <w:rFonts w:hint="eastAsia" w:ascii="宋体" w:hAnsi="宋体"/>
                <w:sz w:val="24"/>
              </w:rPr>
              <w:t>项 目 名 称</w:t>
            </w:r>
          </w:p>
        </w:tc>
        <w:tc>
          <w:tcPr>
            <w:tcW w:w="6727" w:type="dxa"/>
            <w:tcBorders>
              <w:top w:val="single" w:color="auto" w:sz="4" w:space="0"/>
              <w:bottom w:val="single" w:color="auto" w:sz="4" w:space="0"/>
              <w:right w:val="single" w:color="auto" w:sz="4" w:space="0"/>
            </w:tcBorders>
            <w:vAlign w:val="center"/>
          </w:tcPr>
          <w:p w14:paraId="6F3A2080">
            <w:pPr>
              <w:kinsoku w:val="0"/>
              <w:spacing w:line="360" w:lineRule="exact"/>
              <w:jc w:val="center"/>
              <w:rPr>
                <w:rFonts w:ascii="宋体" w:hAnsi="宋体"/>
                <w:sz w:val="24"/>
                <w:u w:val="single"/>
              </w:rPr>
            </w:pPr>
          </w:p>
        </w:tc>
      </w:tr>
      <w:tr w14:paraId="6C3E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2492" w:type="dxa"/>
            <w:tcBorders>
              <w:top w:val="nil"/>
            </w:tcBorders>
            <w:vAlign w:val="center"/>
          </w:tcPr>
          <w:p w14:paraId="38BCDDF1">
            <w:pPr>
              <w:kinsoku w:val="0"/>
              <w:spacing w:line="360" w:lineRule="exact"/>
              <w:jc w:val="center"/>
              <w:rPr>
                <w:rFonts w:ascii="宋体" w:hAnsi="宋体"/>
                <w:sz w:val="24"/>
              </w:rPr>
            </w:pPr>
            <w:r>
              <w:rPr>
                <w:rFonts w:hint="eastAsia" w:ascii="宋体" w:hAnsi="宋体"/>
                <w:sz w:val="24"/>
              </w:rPr>
              <w:t>谈判响应人名称</w:t>
            </w:r>
          </w:p>
        </w:tc>
        <w:tc>
          <w:tcPr>
            <w:tcW w:w="6727" w:type="dxa"/>
            <w:tcBorders>
              <w:top w:val="nil"/>
            </w:tcBorders>
            <w:vAlign w:val="center"/>
          </w:tcPr>
          <w:p w14:paraId="3DBE8054">
            <w:pPr>
              <w:kinsoku w:val="0"/>
              <w:spacing w:line="360" w:lineRule="auto"/>
              <w:ind w:left="420" w:leftChars="200"/>
              <w:jc w:val="center"/>
              <w:rPr>
                <w:rFonts w:ascii="宋体" w:hAnsi="宋体"/>
                <w:sz w:val="24"/>
              </w:rPr>
            </w:pPr>
          </w:p>
        </w:tc>
      </w:tr>
      <w:tr w14:paraId="3B8E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2492" w:type="dxa"/>
            <w:tcBorders>
              <w:top w:val="nil"/>
              <w:bottom w:val="single" w:color="auto" w:sz="4" w:space="0"/>
            </w:tcBorders>
            <w:vAlign w:val="center"/>
          </w:tcPr>
          <w:p w14:paraId="2BFECF1B">
            <w:pPr>
              <w:kinsoku w:val="0"/>
              <w:spacing w:line="360" w:lineRule="exact"/>
              <w:jc w:val="center"/>
              <w:rPr>
                <w:rFonts w:ascii="宋体" w:hAnsi="宋体"/>
                <w:sz w:val="24"/>
              </w:rPr>
            </w:pPr>
            <w:r>
              <w:rPr>
                <w:rFonts w:hint="eastAsia" w:ascii="宋体" w:hAnsi="宋体"/>
                <w:sz w:val="24"/>
              </w:rPr>
              <w:t>谈判报价</w:t>
            </w:r>
          </w:p>
        </w:tc>
        <w:tc>
          <w:tcPr>
            <w:tcW w:w="6727" w:type="dxa"/>
            <w:tcBorders>
              <w:top w:val="nil"/>
              <w:bottom w:val="single" w:color="auto" w:sz="4" w:space="0"/>
            </w:tcBorders>
            <w:vAlign w:val="center"/>
          </w:tcPr>
          <w:p w14:paraId="2E5A0DED">
            <w:pPr>
              <w:kinsoku w:val="0"/>
              <w:spacing w:line="360" w:lineRule="auto"/>
              <w:ind w:left="420" w:leftChars="200"/>
              <w:jc w:val="left"/>
              <w:rPr>
                <w:rFonts w:ascii="宋体" w:hAnsi="宋体"/>
                <w:sz w:val="24"/>
              </w:rPr>
            </w:pPr>
            <w:r>
              <w:rPr>
                <w:rFonts w:hint="eastAsia" w:ascii="宋体" w:hAnsi="宋体"/>
                <w:sz w:val="24"/>
              </w:rPr>
              <w:t xml:space="preserve">大写：              </w:t>
            </w:r>
          </w:p>
          <w:p w14:paraId="59A21190">
            <w:pPr>
              <w:kinsoku w:val="0"/>
              <w:spacing w:line="360" w:lineRule="auto"/>
              <w:ind w:left="420" w:leftChars="200"/>
              <w:jc w:val="left"/>
              <w:rPr>
                <w:rFonts w:ascii="宋体" w:hAnsi="宋体"/>
                <w:sz w:val="24"/>
              </w:rPr>
            </w:pPr>
            <w:r>
              <w:rPr>
                <w:rFonts w:hint="eastAsia" w:ascii="宋体" w:hAnsi="宋体"/>
                <w:sz w:val="24"/>
              </w:rPr>
              <w:t>小写：</w:t>
            </w:r>
          </w:p>
        </w:tc>
      </w:tr>
      <w:tr w14:paraId="6428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492" w:type="dxa"/>
            <w:tcBorders>
              <w:top w:val="single" w:color="auto" w:sz="4" w:space="0"/>
              <w:bottom w:val="single" w:color="auto" w:sz="4" w:space="0"/>
            </w:tcBorders>
            <w:vAlign w:val="center"/>
          </w:tcPr>
          <w:p w14:paraId="04F30D41">
            <w:pPr>
              <w:kinsoku w:val="0"/>
              <w:spacing w:line="360" w:lineRule="exact"/>
              <w:jc w:val="center"/>
              <w:rPr>
                <w:rFonts w:ascii="宋体" w:hAnsi="宋体"/>
                <w:sz w:val="24"/>
              </w:rPr>
            </w:pPr>
            <w:r>
              <w:rPr>
                <w:rFonts w:hint="eastAsia" w:ascii="宋体" w:hAnsi="宋体"/>
                <w:sz w:val="24"/>
              </w:rPr>
              <w:t>服务期</w:t>
            </w:r>
          </w:p>
        </w:tc>
        <w:tc>
          <w:tcPr>
            <w:tcW w:w="6727" w:type="dxa"/>
            <w:tcBorders>
              <w:top w:val="single" w:color="auto" w:sz="4" w:space="0"/>
              <w:bottom w:val="single" w:color="auto" w:sz="4" w:space="0"/>
            </w:tcBorders>
            <w:vAlign w:val="center"/>
          </w:tcPr>
          <w:p w14:paraId="17E86885">
            <w:pPr>
              <w:kinsoku w:val="0"/>
              <w:spacing w:line="360" w:lineRule="exact"/>
              <w:jc w:val="center"/>
              <w:rPr>
                <w:rFonts w:ascii="宋体" w:hAnsi="宋体"/>
                <w:sz w:val="24"/>
              </w:rPr>
            </w:pPr>
          </w:p>
        </w:tc>
      </w:tr>
      <w:tr w14:paraId="3161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2492" w:type="dxa"/>
            <w:tcBorders>
              <w:top w:val="single" w:color="auto" w:sz="4" w:space="0"/>
              <w:bottom w:val="single" w:color="auto" w:sz="4" w:space="0"/>
            </w:tcBorders>
            <w:vAlign w:val="center"/>
          </w:tcPr>
          <w:p w14:paraId="1036E95A">
            <w:pPr>
              <w:kinsoku w:val="0"/>
              <w:spacing w:line="360" w:lineRule="exact"/>
              <w:jc w:val="center"/>
              <w:rPr>
                <w:rFonts w:ascii="宋体" w:hAnsi="宋体"/>
                <w:sz w:val="24"/>
              </w:rPr>
            </w:pPr>
            <w:r>
              <w:rPr>
                <w:rFonts w:hint="eastAsia" w:ascii="宋体" w:hAnsi="宋体"/>
                <w:sz w:val="24"/>
              </w:rPr>
              <w:t>其他承诺</w:t>
            </w:r>
          </w:p>
        </w:tc>
        <w:tc>
          <w:tcPr>
            <w:tcW w:w="6727" w:type="dxa"/>
            <w:tcBorders>
              <w:top w:val="single" w:color="auto" w:sz="4" w:space="0"/>
              <w:bottom w:val="single" w:color="auto" w:sz="4" w:space="0"/>
            </w:tcBorders>
            <w:vAlign w:val="center"/>
          </w:tcPr>
          <w:p w14:paraId="303062D9">
            <w:pPr>
              <w:kinsoku w:val="0"/>
              <w:spacing w:line="360" w:lineRule="exact"/>
              <w:jc w:val="center"/>
              <w:rPr>
                <w:rFonts w:ascii="宋体" w:hAnsi="宋体"/>
                <w:sz w:val="24"/>
              </w:rPr>
            </w:pPr>
          </w:p>
        </w:tc>
      </w:tr>
      <w:tr w14:paraId="693EF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9219" w:type="dxa"/>
            <w:gridSpan w:val="2"/>
            <w:tcBorders>
              <w:top w:val="single" w:color="auto" w:sz="4" w:space="0"/>
            </w:tcBorders>
            <w:vAlign w:val="center"/>
          </w:tcPr>
          <w:p w14:paraId="6ADCA286">
            <w:pPr>
              <w:kinsoku w:val="0"/>
              <w:spacing w:line="360" w:lineRule="exact"/>
              <w:jc w:val="left"/>
              <w:rPr>
                <w:rFonts w:ascii="宋体" w:hAnsi="宋体"/>
                <w:sz w:val="24"/>
              </w:rPr>
            </w:pPr>
            <w:r>
              <w:rPr>
                <w:rFonts w:hint="eastAsia" w:ascii="宋体" w:hAnsi="宋体"/>
                <w:sz w:val="24"/>
              </w:rPr>
              <w:t>备注：</w:t>
            </w:r>
          </w:p>
          <w:p w14:paraId="6BDB194A">
            <w:pPr>
              <w:kinsoku w:val="0"/>
              <w:spacing w:line="360" w:lineRule="exact"/>
              <w:jc w:val="center"/>
              <w:rPr>
                <w:rFonts w:ascii="宋体" w:hAnsi="宋体"/>
                <w:sz w:val="24"/>
              </w:rPr>
            </w:pPr>
          </w:p>
        </w:tc>
      </w:tr>
    </w:tbl>
    <w:p w14:paraId="6CC8AE7D">
      <w:pPr>
        <w:spacing w:line="360" w:lineRule="auto"/>
        <w:rPr>
          <w:rFonts w:ascii="宋体" w:hAnsi="宋体" w:cs="宋体"/>
          <w:b/>
          <w:sz w:val="24"/>
        </w:rPr>
      </w:pPr>
    </w:p>
    <w:p w14:paraId="23334860">
      <w:pPr>
        <w:spacing w:line="360" w:lineRule="auto"/>
        <w:rPr>
          <w:rFonts w:ascii="宋体" w:hAnsi="宋体" w:cs="宋体"/>
          <w:b/>
          <w:sz w:val="24"/>
        </w:rPr>
      </w:pPr>
      <w:r>
        <w:rPr>
          <w:rFonts w:hint="eastAsia" w:ascii="宋体" w:hAnsi="宋体" w:cs="宋体"/>
          <w:b/>
          <w:sz w:val="24"/>
        </w:rPr>
        <w:t>注：此表请各谈判响应人多准备几份，并加盖谈判响应人公章及法定代表人或委托代理人签章，以便在谈判最终报价时使用。（此表由谈判响应人谈判现场递交）</w:t>
      </w:r>
    </w:p>
    <w:p w14:paraId="14B4A7DB">
      <w:pPr>
        <w:spacing w:line="360" w:lineRule="auto"/>
        <w:ind w:firstLine="3465" w:firstLineChars="1650"/>
        <w:rPr>
          <w:rFonts w:ascii="宋体" w:hAnsi="宋体" w:cs="宋体"/>
          <w:szCs w:val="21"/>
        </w:rPr>
      </w:pPr>
    </w:p>
    <w:p w14:paraId="594E0E25">
      <w:pPr>
        <w:spacing w:line="360" w:lineRule="auto"/>
        <w:ind w:firstLine="4725" w:firstLineChars="225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14:paraId="4F472A43">
      <w:pPr>
        <w:spacing w:line="360" w:lineRule="auto"/>
        <w:ind w:firstLine="3561" w:firstLineChars="1696"/>
        <w:rPr>
          <w:rFonts w:ascii="宋体" w:hAnsi="宋体" w:cs="宋体"/>
          <w:szCs w:val="21"/>
        </w:rPr>
      </w:pPr>
    </w:p>
    <w:p w14:paraId="28CA7179">
      <w:pPr>
        <w:spacing w:line="360" w:lineRule="auto"/>
        <w:ind w:firstLine="3360" w:firstLineChars="16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 xml:space="preserve"> （签字或盖章）</w:t>
      </w:r>
    </w:p>
    <w:p w14:paraId="0B858FA9">
      <w:pPr>
        <w:spacing w:line="360" w:lineRule="auto"/>
        <w:ind w:firstLine="3570" w:firstLineChars="1700"/>
        <w:rPr>
          <w:rFonts w:ascii="宋体" w:hAnsi="宋体" w:cs="宋体"/>
          <w:szCs w:val="21"/>
        </w:rPr>
      </w:pPr>
    </w:p>
    <w:p w14:paraId="070DC4CC">
      <w:pPr>
        <w:spacing w:line="360" w:lineRule="auto"/>
        <w:jc w:val="right"/>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0FEBCB83">
      <w:pPr>
        <w:spacing w:line="360" w:lineRule="auto"/>
        <w:ind w:firstLine="3570" w:firstLineChars="1700"/>
        <w:rPr>
          <w:rFonts w:cs="宋体" w:asciiTheme="majorEastAsia" w:hAnsiTheme="majorEastAsia" w:eastAsiaTheme="majorEastAsia"/>
          <w:szCs w:val="21"/>
        </w:rPr>
      </w:pPr>
      <w:r>
        <w:rPr>
          <w:rFonts w:hAnsi="宋体" w:cs="宋体"/>
          <w:szCs w:val="21"/>
        </w:rPr>
        <w:br w:type="page"/>
      </w:r>
    </w:p>
    <w:p w14:paraId="0D85613E">
      <w:pPr>
        <w:pStyle w:val="5"/>
        <w:jc w:val="center"/>
        <w:rPr>
          <w:rFonts w:cs="宋体" w:asciiTheme="majorEastAsia" w:hAnsiTheme="majorEastAsia" w:eastAsiaTheme="majorEastAsia"/>
        </w:rPr>
      </w:pPr>
      <w:bookmarkStart w:id="45" w:name="_Toc522523993"/>
      <w:bookmarkStart w:id="46" w:name="_Toc28153"/>
      <w:r>
        <w:rPr>
          <w:rFonts w:hint="eastAsia" w:cs="宋体" w:asciiTheme="majorEastAsia" w:hAnsiTheme="majorEastAsia" w:eastAsiaTheme="majorEastAsia"/>
        </w:rPr>
        <w:t>三</w:t>
      </w:r>
      <w:bookmarkEnd w:id="45"/>
      <w:bookmarkEnd w:id="46"/>
      <w:r>
        <w:rPr>
          <w:rFonts w:hint="eastAsia" w:hAnsi="宋体" w:cs="宋体"/>
        </w:rPr>
        <w:t>、</w:t>
      </w:r>
      <w:bookmarkStart w:id="47" w:name="_Toc25208"/>
      <w:r>
        <w:rPr>
          <w:rFonts w:hint="eastAsia" w:hAnsi="宋体" w:cs="宋体"/>
        </w:rPr>
        <w:t>服务内容及质量要求响应表</w:t>
      </w:r>
      <w:bookmarkEnd w:id="47"/>
    </w:p>
    <w:p w14:paraId="1A06DEF6">
      <w:pPr>
        <w:spacing w:line="360" w:lineRule="auto"/>
        <w:rPr>
          <w:rFonts w:cs="宋体" w:asciiTheme="majorEastAsia" w:hAnsiTheme="majorEastAsia" w:eastAsiaTheme="majorEastAsia"/>
          <w:b/>
          <w:szCs w:val="21"/>
        </w:rPr>
      </w:pPr>
      <w:r>
        <w:rPr>
          <w:rFonts w:hint="eastAsia" w:cs="宋体" w:asciiTheme="majorEastAsia" w:hAnsiTheme="majorEastAsia" w:eastAsiaTheme="majorEastAsia"/>
          <w:szCs w:val="21"/>
        </w:rPr>
        <w:t>项目名称：</w:t>
      </w:r>
    </w:p>
    <w:tbl>
      <w:tblPr>
        <w:tblStyle w:val="23"/>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3AFD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14:paraId="0FEA1162">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序号</w:t>
            </w:r>
          </w:p>
        </w:tc>
        <w:tc>
          <w:tcPr>
            <w:tcW w:w="6000" w:type="dxa"/>
            <w:vAlign w:val="center"/>
          </w:tcPr>
          <w:p w14:paraId="00436E73">
            <w:pPr>
              <w:spacing w:line="360" w:lineRule="auto"/>
              <w:jc w:val="center"/>
              <w:rPr>
                <w:rFonts w:cs="宋体" w:asciiTheme="majorEastAsia" w:hAnsiTheme="majorEastAsia" w:eastAsiaTheme="majorEastAsia"/>
                <w:szCs w:val="21"/>
              </w:rPr>
            </w:pPr>
            <w:r>
              <w:rPr>
                <w:rFonts w:hint="eastAsia" w:ascii="宋体" w:hAnsi="宋体" w:cs="宋体"/>
                <w:szCs w:val="21"/>
              </w:rPr>
              <w:t>响应服务内容质量要求</w:t>
            </w:r>
          </w:p>
        </w:tc>
        <w:tc>
          <w:tcPr>
            <w:tcW w:w="2209" w:type="dxa"/>
            <w:vAlign w:val="center"/>
          </w:tcPr>
          <w:p w14:paraId="7BD63A22">
            <w:pPr>
              <w:spacing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响应情况</w:t>
            </w:r>
          </w:p>
        </w:tc>
      </w:tr>
      <w:tr w14:paraId="6E72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23A74341">
            <w:pPr>
              <w:spacing w:line="360" w:lineRule="auto"/>
              <w:jc w:val="center"/>
              <w:rPr>
                <w:rFonts w:cs="宋体" w:asciiTheme="majorEastAsia" w:hAnsiTheme="majorEastAsia" w:eastAsiaTheme="majorEastAsia"/>
                <w:spacing w:val="-4"/>
                <w:szCs w:val="21"/>
              </w:rPr>
            </w:pPr>
          </w:p>
        </w:tc>
        <w:tc>
          <w:tcPr>
            <w:tcW w:w="6000" w:type="dxa"/>
            <w:vAlign w:val="center"/>
          </w:tcPr>
          <w:p w14:paraId="3F5C8C13">
            <w:pPr>
              <w:spacing w:line="360" w:lineRule="auto"/>
              <w:jc w:val="center"/>
              <w:rPr>
                <w:rFonts w:cs="宋体" w:asciiTheme="majorEastAsia" w:hAnsiTheme="majorEastAsia" w:eastAsiaTheme="majorEastAsia"/>
                <w:szCs w:val="21"/>
              </w:rPr>
            </w:pPr>
            <w:r>
              <w:rPr>
                <w:rFonts w:hint="eastAsia" w:ascii="宋体" w:hAnsi="宋体" w:cs="宋体"/>
                <w:szCs w:val="21"/>
              </w:rPr>
              <w:t>谈判文件要求服务内容</w:t>
            </w:r>
          </w:p>
        </w:tc>
        <w:tc>
          <w:tcPr>
            <w:tcW w:w="2209" w:type="dxa"/>
            <w:vAlign w:val="center"/>
          </w:tcPr>
          <w:p w14:paraId="4B89F69B">
            <w:pPr>
              <w:spacing w:line="360" w:lineRule="auto"/>
              <w:jc w:val="center"/>
              <w:rPr>
                <w:rFonts w:cs="宋体" w:asciiTheme="majorEastAsia" w:hAnsiTheme="majorEastAsia" w:eastAsiaTheme="majorEastAsia"/>
                <w:b/>
                <w:szCs w:val="21"/>
              </w:rPr>
            </w:pPr>
          </w:p>
        </w:tc>
      </w:tr>
      <w:tr w14:paraId="12BD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603C982F">
            <w:pPr>
              <w:spacing w:line="360" w:lineRule="auto"/>
              <w:jc w:val="center"/>
              <w:rPr>
                <w:rFonts w:cs="宋体" w:asciiTheme="majorEastAsia" w:hAnsiTheme="majorEastAsia" w:eastAsiaTheme="majorEastAsia"/>
                <w:spacing w:val="-4"/>
                <w:szCs w:val="21"/>
              </w:rPr>
            </w:pPr>
          </w:p>
        </w:tc>
        <w:tc>
          <w:tcPr>
            <w:tcW w:w="6000" w:type="dxa"/>
            <w:vAlign w:val="center"/>
          </w:tcPr>
          <w:p w14:paraId="7A2AAC36">
            <w:pPr>
              <w:spacing w:line="360" w:lineRule="auto"/>
              <w:ind w:firstLine="2520" w:firstLineChars="1200"/>
              <w:rPr>
                <w:rFonts w:cs="宋体" w:asciiTheme="majorEastAsia" w:hAnsiTheme="majorEastAsia" w:eastAsiaTheme="majorEastAsia"/>
                <w:szCs w:val="21"/>
              </w:rPr>
            </w:pPr>
            <w:r>
              <w:rPr>
                <w:rFonts w:hint="eastAsia" w:ascii="宋体" w:hAnsi="宋体" w:cs="宋体"/>
                <w:szCs w:val="21"/>
              </w:rPr>
              <w:t>质量要求</w:t>
            </w:r>
          </w:p>
        </w:tc>
        <w:tc>
          <w:tcPr>
            <w:tcW w:w="2209" w:type="dxa"/>
            <w:vAlign w:val="center"/>
          </w:tcPr>
          <w:p w14:paraId="25F00F37">
            <w:pPr>
              <w:spacing w:line="360" w:lineRule="auto"/>
              <w:jc w:val="center"/>
              <w:rPr>
                <w:rFonts w:cs="宋体" w:asciiTheme="majorEastAsia" w:hAnsiTheme="majorEastAsia" w:eastAsiaTheme="majorEastAsia"/>
                <w:b/>
                <w:szCs w:val="21"/>
              </w:rPr>
            </w:pPr>
          </w:p>
        </w:tc>
      </w:tr>
      <w:tr w14:paraId="6537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1BFA6CBC">
            <w:pPr>
              <w:spacing w:line="360" w:lineRule="auto"/>
              <w:jc w:val="center"/>
              <w:rPr>
                <w:rFonts w:cs="宋体" w:asciiTheme="majorEastAsia" w:hAnsiTheme="majorEastAsia" w:eastAsiaTheme="majorEastAsia"/>
                <w:spacing w:val="-4"/>
                <w:szCs w:val="21"/>
              </w:rPr>
            </w:pPr>
          </w:p>
        </w:tc>
        <w:tc>
          <w:tcPr>
            <w:tcW w:w="6000" w:type="dxa"/>
            <w:vAlign w:val="center"/>
          </w:tcPr>
          <w:p w14:paraId="3992BEEB">
            <w:pPr>
              <w:spacing w:line="360" w:lineRule="auto"/>
              <w:jc w:val="center"/>
              <w:rPr>
                <w:rFonts w:cs="宋体" w:asciiTheme="majorEastAsia" w:hAnsiTheme="majorEastAsia" w:eastAsiaTheme="majorEastAsia"/>
                <w:szCs w:val="21"/>
              </w:rPr>
            </w:pPr>
          </w:p>
        </w:tc>
        <w:tc>
          <w:tcPr>
            <w:tcW w:w="2209" w:type="dxa"/>
            <w:vAlign w:val="center"/>
          </w:tcPr>
          <w:p w14:paraId="487BDC2E">
            <w:pPr>
              <w:spacing w:line="360" w:lineRule="auto"/>
              <w:jc w:val="center"/>
              <w:rPr>
                <w:rFonts w:cs="宋体" w:asciiTheme="majorEastAsia" w:hAnsiTheme="majorEastAsia" w:eastAsiaTheme="majorEastAsia"/>
                <w:b/>
                <w:szCs w:val="21"/>
              </w:rPr>
            </w:pPr>
          </w:p>
        </w:tc>
      </w:tr>
      <w:tr w14:paraId="5F3A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742FE515">
            <w:pPr>
              <w:spacing w:line="360" w:lineRule="auto"/>
              <w:jc w:val="center"/>
              <w:rPr>
                <w:rFonts w:cs="宋体" w:asciiTheme="majorEastAsia" w:hAnsiTheme="majorEastAsia" w:eastAsiaTheme="majorEastAsia"/>
                <w:spacing w:val="-4"/>
                <w:szCs w:val="21"/>
              </w:rPr>
            </w:pPr>
          </w:p>
        </w:tc>
        <w:tc>
          <w:tcPr>
            <w:tcW w:w="6000" w:type="dxa"/>
            <w:vAlign w:val="center"/>
          </w:tcPr>
          <w:p w14:paraId="24F196F4">
            <w:pPr>
              <w:spacing w:line="360" w:lineRule="auto"/>
              <w:jc w:val="center"/>
              <w:rPr>
                <w:rFonts w:cs="宋体" w:asciiTheme="majorEastAsia" w:hAnsiTheme="majorEastAsia" w:eastAsiaTheme="majorEastAsia"/>
                <w:szCs w:val="21"/>
              </w:rPr>
            </w:pPr>
          </w:p>
        </w:tc>
        <w:tc>
          <w:tcPr>
            <w:tcW w:w="2209" w:type="dxa"/>
            <w:vAlign w:val="center"/>
          </w:tcPr>
          <w:p w14:paraId="7FBFA22C">
            <w:pPr>
              <w:spacing w:line="360" w:lineRule="auto"/>
              <w:jc w:val="center"/>
              <w:rPr>
                <w:rFonts w:cs="宋体" w:asciiTheme="majorEastAsia" w:hAnsiTheme="majorEastAsia" w:eastAsiaTheme="majorEastAsia"/>
                <w:b/>
                <w:szCs w:val="21"/>
              </w:rPr>
            </w:pPr>
          </w:p>
        </w:tc>
      </w:tr>
      <w:tr w14:paraId="5152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263D19D8">
            <w:pPr>
              <w:spacing w:line="360" w:lineRule="auto"/>
              <w:jc w:val="center"/>
              <w:rPr>
                <w:rFonts w:cs="宋体" w:asciiTheme="majorEastAsia" w:hAnsiTheme="majorEastAsia" w:eastAsiaTheme="majorEastAsia"/>
                <w:spacing w:val="-4"/>
                <w:szCs w:val="21"/>
              </w:rPr>
            </w:pPr>
          </w:p>
        </w:tc>
        <w:tc>
          <w:tcPr>
            <w:tcW w:w="6000" w:type="dxa"/>
            <w:vAlign w:val="center"/>
          </w:tcPr>
          <w:p w14:paraId="3BC9FEDD">
            <w:pPr>
              <w:spacing w:line="360" w:lineRule="auto"/>
              <w:jc w:val="center"/>
              <w:rPr>
                <w:rFonts w:cs="宋体" w:asciiTheme="majorEastAsia" w:hAnsiTheme="majorEastAsia" w:eastAsiaTheme="majorEastAsia"/>
                <w:szCs w:val="21"/>
              </w:rPr>
            </w:pPr>
          </w:p>
        </w:tc>
        <w:tc>
          <w:tcPr>
            <w:tcW w:w="2209" w:type="dxa"/>
            <w:vAlign w:val="center"/>
          </w:tcPr>
          <w:p w14:paraId="64140CF9">
            <w:pPr>
              <w:spacing w:line="360" w:lineRule="auto"/>
              <w:jc w:val="center"/>
              <w:rPr>
                <w:rFonts w:cs="宋体" w:asciiTheme="majorEastAsia" w:hAnsiTheme="majorEastAsia" w:eastAsiaTheme="majorEastAsia"/>
                <w:b/>
                <w:szCs w:val="21"/>
              </w:rPr>
            </w:pPr>
          </w:p>
        </w:tc>
      </w:tr>
      <w:tr w14:paraId="54202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6EB22A69">
            <w:pPr>
              <w:spacing w:line="360" w:lineRule="auto"/>
              <w:jc w:val="center"/>
              <w:rPr>
                <w:rFonts w:cs="宋体" w:asciiTheme="majorEastAsia" w:hAnsiTheme="majorEastAsia" w:eastAsiaTheme="majorEastAsia"/>
                <w:spacing w:val="-4"/>
                <w:szCs w:val="21"/>
              </w:rPr>
            </w:pPr>
          </w:p>
        </w:tc>
        <w:tc>
          <w:tcPr>
            <w:tcW w:w="6000" w:type="dxa"/>
            <w:vAlign w:val="center"/>
          </w:tcPr>
          <w:p w14:paraId="294D9646">
            <w:pPr>
              <w:spacing w:line="360" w:lineRule="auto"/>
              <w:jc w:val="center"/>
              <w:rPr>
                <w:rFonts w:cs="宋体" w:asciiTheme="majorEastAsia" w:hAnsiTheme="majorEastAsia" w:eastAsiaTheme="majorEastAsia"/>
                <w:szCs w:val="21"/>
              </w:rPr>
            </w:pPr>
          </w:p>
        </w:tc>
        <w:tc>
          <w:tcPr>
            <w:tcW w:w="2209" w:type="dxa"/>
            <w:vAlign w:val="center"/>
          </w:tcPr>
          <w:p w14:paraId="26E1DB08">
            <w:pPr>
              <w:spacing w:line="360" w:lineRule="auto"/>
              <w:jc w:val="center"/>
              <w:rPr>
                <w:rFonts w:cs="宋体" w:asciiTheme="majorEastAsia" w:hAnsiTheme="majorEastAsia" w:eastAsiaTheme="majorEastAsia"/>
                <w:b/>
                <w:szCs w:val="21"/>
              </w:rPr>
            </w:pPr>
          </w:p>
        </w:tc>
      </w:tr>
    </w:tbl>
    <w:p w14:paraId="28AE3BD4">
      <w:pPr>
        <w:tabs>
          <w:tab w:val="left" w:pos="1815"/>
        </w:tabs>
        <w:spacing w:line="360" w:lineRule="auto"/>
        <w:ind w:firstLine="413" w:firstLineChars="196"/>
        <w:rPr>
          <w:rFonts w:cs="宋体" w:asciiTheme="majorEastAsia" w:hAnsiTheme="majorEastAsia" w:eastAsiaTheme="majorEastAsia"/>
          <w:b/>
          <w:szCs w:val="21"/>
        </w:rPr>
      </w:pPr>
      <w:r>
        <w:rPr>
          <w:rFonts w:hint="eastAsia" w:cs="宋体" w:asciiTheme="majorEastAsia" w:hAnsiTheme="majorEastAsia" w:eastAsiaTheme="majorEastAsia"/>
          <w:b/>
          <w:szCs w:val="21"/>
        </w:rPr>
        <w:t>注：</w:t>
      </w:r>
    </w:p>
    <w:p w14:paraId="5E0036E7">
      <w:pPr>
        <w:tabs>
          <w:tab w:val="left" w:pos="1815"/>
        </w:tabs>
        <w:spacing w:line="360" w:lineRule="auto"/>
        <w:ind w:firstLine="411" w:firstLineChars="196"/>
        <w:rPr>
          <w:rFonts w:cs="宋体" w:asciiTheme="majorEastAsia" w:hAnsiTheme="majorEastAsia" w:eastAsiaTheme="majorEastAsia"/>
          <w:szCs w:val="21"/>
        </w:rPr>
      </w:pPr>
      <w:r>
        <w:rPr>
          <w:rFonts w:hint="eastAsia" w:cs="宋体" w:asciiTheme="majorEastAsia" w:hAnsiTheme="majorEastAsia" w:eastAsiaTheme="majorEastAsia"/>
          <w:szCs w:val="21"/>
        </w:rPr>
        <w:t>1、谈判响应人必须将自己所投服务真实、准确地填入以上表格中。</w:t>
      </w:r>
    </w:p>
    <w:p w14:paraId="6B2D8444">
      <w:pPr>
        <w:pStyle w:val="5"/>
        <w:ind w:firstLine="420" w:firstLineChars="200"/>
        <w:jc w:val="both"/>
        <w:rPr>
          <w:rFonts w:cs="宋体" w:asciiTheme="majorEastAsia" w:hAnsiTheme="majorEastAsia" w:eastAsiaTheme="majorEastAsia"/>
          <w:b w:val="0"/>
          <w:kern w:val="2"/>
          <w:sz w:val="21"/>
          <w:szCs w:val="21"/>
        </w:rPr>
      </w:pPr>
      <w:r>
        <w:rPr>
          <w:rFonts w:hint="eastAsia" w:cs="宋体" w:asciiTheme="majorEastAsia" w:hAnsiTheme="majorEastAsia" w:eastAsiaTheme="majorEastAsia"/>
          <w:b w:val="0"/>
          <w:kern w:val="2"/>
          <w:sz w:val="21"/>
          <w:szCs w:val="21"/>
        </w:rPr>
        <w:t>2、谈判响应人必须根据自己所投货物与“服务需求”的差异情况，实事求是地填写“响应情况”（优于、满足、不满足） 。</w:t>
      </w:r>
    </w:p>
    <w:p w14:paraId="39F9D26D">
      <w:pPr>
        <w:tabs>
          <w:tab w:val="left" w:pos="1815"/>
        </w:tabs>
        <w:spacing w:line="360" w:lineRule="auto"/>
        <w:ind w:firstLine="420" w:firstLineChars="200"/>
        <w:rPr>
          <w:rFonts w:cs="宋体" w:asciiTheme="majorEastAsia" w:hAnsiTheme="majorEastAsia" w:eastAsiaTheme="majorEastAsia"/>
          <w:szCs w:val="21"/>
        </w:rPr>
      </w:pPr>
    </w:p>
    <w:p w14:paraId="386B4E17">
      <w:pPr>
        <w:spacing w:line="360" w:lineRule="auto"/>
        <w:ind w:firstLine="3561" w:firstLineChars="1696"/>
        <w:rPr>
          <w:rFonts w:cs="宋体" w:asciiTheme="majorEastAsia" w:hAnsiTheme="majorEastAsia" w:eastAsiaTheme="majorEastAsia"/>
          <w:szCs w:val="21"/>
        </w:rPr>
      </w:pPr>
      <w:r>
        <w:rPr>
          <w:rFonts w:hint="eastAsia" w:cs="宋体" w:asciiTheme="majorEastAsia" w:hAnsiTheme="majorEastAsia" w:eastAsiaTheme="majorEastAsia"/>
          <w:szCs w:val="21"/>
        </w:rPr>
        <w:t>谈判响应人：</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（盖章）</w:t>
      </w:r>
    </w:p>
    <w:p w14:paraId="25C45F39">
      <w:pPr>
        <w:spacing w:line="360" w:lineRule="auto"/>
        <w:ind w:firstLine="3561" w:firstLineChars="1696"/>
        <w:rPr>
          <w:rFonts w:cs="宋体" w:asciiTheme="majorEastAsia" w:hAnsiTheme="majorEastAsia" w:eastAsiaTheme="majorEastAsia"/>
          <w:szCs w:val="21"/>
        </w:rPr>
      </w:pPr>
    </w:p>
    <w:p w14:paraId="1524F1C4">
      <w:pPr>
        <w:spacing w:line="360" w:lineRule="auto"/>
        <w:ind w:firstLine="3465" w:firstLineChars="165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（签字或盖章）</w:t>
      </w:r>
    </w:p>
    <w:p w14:paraId="6FB09986">
      <w:pPr>
        <w:spacing w:line="360" w:lineRule="auto"/>
        <w:ind w:firstLine="3570" w:firstLineChars="1700"/>
        <w:rPr>
          <w:rFonts w:cs="宋体" w:asciiTheme="majorEastAsia" w:hAnsiTheme="majorEastAsia" w:eastAsiaTheme="majorEastAsia"/>
          <w:szCs w:val="21"/>
        </w:rPr>
      </w:pPr>
    </w:p>
    <w:p w14:paraId="6D5B8C0E">
      <w:pPr>
        <w:spacing w:line="360" w:lineRule="auto"/>
        <w:ind w:firstLine="3570" w:firstLineChars="1700"/>
        <w:rPr>
          <w:rFonts w:cs="宋体" w:asciiTheme="majorEastAsia" w:hAnsiTheme="majorEastAsia" w:eastAsiaTheme="majorEastAsia"/>
          <w:szCs w:val="21"/>
        </w:rPr>
      </w:pPr>
      <w:r>
        <w:rPr>
          <w:rFonts w:hint="eastAsia" w:cs="宋体" w:asciiTheme="majorEastAsia" w:hAnsiTheme="majorEastAsia" w:eastAsiaTheme="majorEastAsia"/>
          <w:szCs w:val="21"/>
        </w:rPr>
        <w:t>日  期：</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年</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月</w:t>
      </w:r>
      <w:r>
        <w:rPr>
          <w:rFonts w:hint="eastAsia" w:cs="宋体" w:asciiTheme="majorEastAsia" w:hAnsiTheme="majorEastAsia" w:eastAsiaTheme="majorEastAsia"/>
          <w:szCs w:val="21"/>
          <w:u w:val="single"/>
        </w:rPr>
        <w:t xml:space="preserve"> 　     </w:t>
      </w:r>
      <w:r>
        <w:rPr>
          <w:rFonts w:hint="eastAsia" w:cs="宋体" w:asciiTheme="majorEastAsia" w:hAnsiTheme="majorEastAsia" w:eastAsiaTheme="majorEastAsia"/>
          <w:szCs w:val="21"/>
        </w:rPr>
        <w:t>日</w:t>
      </w:r>
    </w:p>
    <w:p w14:paraId="07E126F0">
      <w:pPr>
        <w:widowControl/>
        <w:jc w:val="left"/>
        <w:rPr>
          <w:rFonts w:cs="宋体" w:asciiTheme="majorEastAsia" w:hAnsiTheme="majorEastAsia" w:eastAsiaTheme="majorEastAsia"/>
          <w:szCs w:val="21"/>
        </w:rPr>
      </w:pPr>
      <w:r>
        <w:rPr>
          <w:rFonts w:cs="宋体" w:asciiTheme="majorEastAsia" w:hAnsiTheme="majorEastAsia" w:eastAsiaTheme="majorEastAsia"/>
          <w:szCs w:val="21"/>
        </w:rPr>
        <w:br w:type="page"/>
      </w:r>
    </w:p>
    <w:p w14:paraId="07EA23C2">
      <w:pPr>
        <w:pStyle w:val="5"/>
        <w:jc w:val="center"/>
        <w:rPr>
          <w:rFonts w:hAnsi="宋体" w:cs="宋体"/>
          <w:bdr w:val="single" w:color="auto" w:sz="4" w:space="0"/>
        </w:rPr>
      </w:pPr>
      <w:bookmarkStart w:id="48" w:name="_Toc8668"/>
      <w:bookmarkStart w:id="49" w:name="_Toc2920"/>
      <w:bookmarkStart w:id="50" w:name="_Toc522523994"/>
      <w:r>
        <w:rPr>
          <w:rFonts w:hint="eastAsia" w:cs="宋体" w:asciiTheme="majorEastAsia" w:hAnsiTheme="majorEastAsia" w:eastAsiaTheme="majorEastAsia"/>
        </w:rPr>
        <w:t>四、</w:t>
      </w:r>
      <w:bookmarkEnd w:id="48"/>
      <w:bookmarkEnd w:id="49"/>
      <w:bookmarkEnd w:id="50"/>
      <w:r>
        <w:rPr>
          <w:rFonts w:hint="eastAsia" w:hAnsi="宋体" w:cs="宋体"/>
        </w:rPr>
        <w:t>服务方案</w:t>
      </w:r>
    </w:p>
    <w:p w14:paraId="1DFEBAE8">
      <w:pPr>
        <w:spacing w:line="360" w:lineRule="auto"/>
        <w:rPr>
          <w:rFonts w:cs="宋体" w:asciiTheme="majorEastAsia" w:hAnsiTheme="majorEastAsia" w:eastAsiaTheme="majorEastAsia"/>
          <w:szCs w:val="21"/>
        </w:rPr>
      </w:pPr>
    </w:p>
    <w:p w14:paraId="20B697D8">
      <w:pPr>
        <w:spacing w:line="360" w:lineRule="auto"/>
        <w:ind w:firstLine="420" w:firstLineChars="200"/>
        <w:rPr>
          <w:rFonts w:ascii="宋体" w:hAnsi="宋体" w:cs="宋体"/>
          <w:szCs w:val="21"/>
        </w:rPr>
      </w:pPr>
      <w:r>
        <w:rPr>
          <w:rFonts w:hint="eastAsia" w:ascii="宋体" w:hAnsi="宋体" w:cs="宋体"/>
          <w:szCs w:val="21"/>
        </w:rPr>
        <w:t>谈判响应人依据第三章“服务需求”自行提供。</w:t>
      </w:r>
    </w:p>
    <w:p w14:paraId="3D3272A0">
      <w:pPr>
        <w:spacing w:line="360" w:lineRule="auto"/>
        <w:ind w:firstLine="420" w:firstLineChars="200"/>
        <w:rPr>
          <w:rFonts w:ascii="宋体" w:hAnsi="宋体" w:cs="宋体"/>
          <w:szCs w:val="21"/>
        </w:rPr>
      </w:pPr>
      <w:r>
        <w:rPr>
          <w:rFonts w:hint="eastAsia" w:ascii="宋体" w:hAnsi="宋体" w:cs="宋体"/>
          <w:szCs w:val="21"/>
        </w:rPr>
        <w:t>1、服务方案</w:t>
      </w:r>
    </w:p>
    <w:p w14:paraId="3056A84C">
      <w:pPr>
        <w:spacing w:line="360" w:lineRule="auto"/>
        <w:ind w:firstLine="420" w:firstLineChars="200"/>
        <w:rPr>
          <w:rFonts w:ascii="宋体" w:hAnsi="宋体" w:cs="宋体"/>
          <w:szCs w:val="21"/>
        </w:rPr>
      </w:pPr>
      <w:r>
        <w:rPr>
          <w:rFonts w:hint="eastAsia" w:ascii="宋体" w:hAnsi="宋体" w:cs="宋体"/>
          <w:szCs w:val="21"/>
        </w:rPr>
        <w:t>2、服务保证及服务承诺</w:t>
      </w:r>
    </w:p>
    <w:p w14:paraId="777E355F">
      <w:pPr>
        <w:spacing w:line="360" w:lineRule="auto"/>
        <w:ind w:firstLine="420" w:firstLineChars="200"/>
        <w:rPr>
          <w:rFonts w:ascii="宋体" w:hAnsi="宋体" w:cs="宋体"/>
          <w:spacing w:val="-4"/>
          <w:kern w:val="0"/>
          <w:szCs w:val="21"/>
        </w:rPr>
      </w:pPr>
      <w:r>
        <w:rPr>
          <w:rFonts w:hint="eastAsia" w:ascii="宋体" w:hAnsi="宋体" w:cs="宋体"/>
          <w:szCs w:val="21"/>
        </w:rPr>
        <w:t>3、谈判响应人认为需要提供的其他资料</w:t>
      </w:r>
    </w:p>
    <w:p w14:paraId="32DD88CD">
      <w:pPr>
        <w:spacing w:line="360" w:lineRule="auto"/>
        <w:ind w:firstLine="420" w:firstLineChars="200"/>
        <w:rPr>
          <w:rFonts w:ascii="宋体" w:hAnsi="宋体" w:cs="宋体"/>
          <w:szCs w:val="21"/>
        </w:rPr>
      </w:pPr>
    </w:p>
    <w:p w14:paraId="32066D39">
      <w:pPr>
        <w:spacing w:line="360" w:lineRule="auto"/>
        <w:ind w:firstLine="420" w:firstLineChars="200"/>
        <w:rPr>
          <w:rFonts w:cs="宋体" w:asciiTheme="majorEastAsia" w:hAnsiTheme="majorEastAsia" w:eastAsiaTheme="majorEastAsia"/>
          <w:szCs w:val="21"/>
        </w:rPr>
      </w:pPr>
    </w:p>
    <w:p w14:paraId="66563EBF">
      <w:pPr>
        <w:spacing w:line="360" w:lineRule="auto"/>
        <w:ind w:firstLine="420" w:firstLineChars="200"/>
        <w:rPr>
          <w:rFonts w:cs="宋体" w:asciiTheme="majorEastAsia" w:hAnsiTheme="majorEastAsia" w:eastAsiaTheme="majorEastAsia"/>
          <w:szCs w:val="21"/>
        </w:rPr>
      </w:pPr>
    </w:p>
    <w:p w14:paraId="59573C90">
      <w:pPr>
        <w:spacing w:line="360" w:lineRule="auto"/>
        <w:ind w:firstLine="420" w:firstLineChars="200"/>
        <w:rPr>
          <w:rFonts w:cs="宋体" w:asciiTheme="majorEastAsia" w:hAnsiTheme="majorEastAsia" w:eastAsiaTheme="majorEastAsia"/>
          <w:szCs w:val="21"/>
        </w:rPr>
      </w:pPr>
    </w:p>
    <w:p w14:paraId="4C5467AB">
      <w:pPr>
        <w:spacing w:line="360" w:lineRule="auto"/>
        <w:ind w:firstLine="420" w:firstLineChars="200"/>
        <w:rPr>
          <w:rFonts w:cs="宋体" w:asciiTheme="majorEastAsia" w:hAnsiTheme="majorEastAsia" w:eastAsiaTheme="majorEastAsia"/>
          <w:szCs w:val="21"/>
        </w:rPr>
      </w:pPr>
    </w:p>
    <w:p w14:paraId="35A54187">
      <w:pPr>
        <w:spacing w:line="360" w:lineRule="auto"/>
        <w:ind w:firstLine="420" w:firstLineChars="200"/>
        <w:rPr>
          <w:rFonts w:cs="宋体" w:asciiTheme="majorEastAsia" w:hAnsiTheme="majorEastAsia" w:eastAsiaTheme="majorEastAsia"/>
          <w:szCs w:val="21"/>
        </w:rPr>
      </w:pPr>
    </w:p>
    <w:p w14:paraId="52E7D099">
      <w:pPr>
        <w:spacing w:line="360" w:lineRule="auto"/>
        <w:ind w:firstLine="420" w:firstLineChars="200"/>
        <w:rPr>
          <w:rFonts w:cs="宋体" w:asciiTheme="majorEastAsia" w:hAnsiTheme="majorEastAsia" w:eastAsiaTheme="majorEastAsia"/>
          <w:szCs w:val="21"/>
        </w:rPr>
      </w:pPr>
    </w:p>
    <w:p w14:paraId="33B637D0">
      <w:pPr>
        <w:spacing w:line="360" w:lineRule="auto"/>
        <w:ind w:firstLine="420" w:firstLineChars="200"/>
        <w:rPr>
          <w:rFonts w:cs="宋体" w:asciiTheme="majorEastAsia" w:hAnsiTheme="majorEastAsia" w:eastAsiaTheme="majorEastAsia"/>
          <w:szCs w:val="21"/>
        </w:rPr>
      </w:pPr>
    </w:p>
    <w:p w14:paraId="03BE583E">
      <w:pPr>
        <w:spacing w:line="360" w:lineRule="auto"/>
        <w:ind w:firstLine="420" w:firstLineChars="200"/>
        <w:rPr>
          <w:rFonts w:cs="宋体" w:asciiTheme="majorEastAsia" w:hAnsiTheme="majorEastAsia" w:eastAsiaTheme="majorEastAsia"/>
          <w:szCs w:val="21"/>
        </w:rPr>
      </w:pPr>
    </w:p>
    <w:p w14:paraId="0329FD50">
      <w:pPr>
        <w:spacing w:line="360" w:lineRule="auto"/>
        <w:ind w:firstLine="420" w:firstLineChars="200"/>
        <w:rPr>
          <w:rFonts w:cs="宋体" w:asciiTheme="majorEastAsia" w:hAnsiTheme="majorEastAsia" w:eastAsiaTheme="majorEastAsia"/>
          <w:szCs w:val="21"/>
        </w:rPr>
      </w:pPr>
    </w:p>
    <w:p w14:paraId="1D2BAC00">
      <w:pPr>
        <w:spacing w:line="360" w:lineRule="auto"/>
        <w:ind w:firstLine="420" w:firstLineChars="200"/>
        <w:rPr>
          <w:rFonts w:cs="宋体" w:asciiTheme="majorEastAsia" w:hAnsiTheme="majorEastAsia" w:eastAsiaTheme="majorEastAsia"/>
          <w:szCs w:val="21"/>
        </w:rPr>
      </w:pPr>
    </w:p>
    <w:p w14:paraId="2867381A">
      <w:pPr>
        <w:spacing w:line="360" w:lineRule="auto"/>
        <w:ind w:firstLine="420" w:firstLineChars="200"/>
        <w:rPr>
          <w:rFonts w:cs="宋体" w:asciiTheme="majorEastAsia" w:hAnsiTheme="majorEastAsia" w:eastAsiaTheme="majorEastAsia"/>
          <w:szCs w:val="21"/>
        </w:rPr>
      </w:pPr>
    </w:p>
    <w:p w14:paraId="59AC7E55">
      <w:pPr>
        <w:spacing w:line="360" w:lineRule="auto"/>
        <w:ind w:firstLine="420" w:firstLineChars="200"/>
        <w:rPr>
          <w:rFonts w:cs="宋体" w:asciiTheme="majorEastAsia" w:hAnsiTheme="majorEastAsia" w:eastAsiaTheme="majorEastAsia"/>
          <w:szCs w:val="21"/>
        </w:rPr>
      </w:pPr>
    </w:p>
    <w:p w14:paraId="02B29388">
      <w:pPr>
        <w:spacing w:line="360" w:lineRule="auto"/>
        <w:ind w:firstLine="420" w:firstLineChars="200"/>
        <w:rPr>
          <w:rFonts w:cs="宋体" w:asciiTheme="majorEastAsia" w:hAnsiTheme="majorEastAsia" w:eastAsiaTheme="majorEastAsia"/>
          <w:szCs w:val="21"/>
        </w:rPr>
      </w:pPr>
    </w:p>
    <w:p w14:paraId="6ADEB262">
      <w:pPr>
        <w:spacing w:line="360" w:lineRule="auto"/>
        <w:ind w:firstLine="420" w:firstLineChars="200"/>
        <w:rPr>
          <w:rFonts w:cs="宋体" w:asciiTheme="majorEastAsia" w:hAnsiTheme="majorEastAsia" w:eastAsiaTheme="majorEastAsia"/>
          <w:szCs w:val="21"/>
        </w:rPr>
      </w:pPr>
    </w:p>
    <w:p w14:paraId="1F07F933">
      <w:pPr>
        <w:spacing w:line="360" w:lineRule="auto"/>
        <w:ind w:firstLine="420" w:firstLineChars="200"/>
        <w:rPr>
          <w:rFonts w:cs="宋体" w:asciiTheme="majorEastAsia" w:hAnsiTheme="majorEastAsia" w:eastAsiaTheme="majorEastAsia"/>
          <w:szCs w:val="21"/>
        </w:rPr>
      </w:pPr>
    </w:p>
    <w:p w14:paraId="32A86F1A">
      <w:pPr>
        <w:spacing w:line="360" w:lineRule="auto"/>
        <w:ind w:firstLine="420" w:firstLineChars="200"/>
        <w:rPr>
          <w:rFonts w:cs="宋体" w:asciiTheme="majorEastAsia" w:hAnsiTheme="majorEastAsia" w:eastAsiaTheme="majorEastAsia"/>
          <w:szCs w:val="21"/>
        </w:rPr>
      </w:pPr>
    </w:p>
    <w:p w14:paraId="329BC540">
      <w:pPr>
        <w:spacing w:line="360" w:lineRule="auto"/>
        <w:ind w:firstLine="420" w:firstLineChars="200"/>
        <w:rPr>
          <w:rFonts w:cs="宋体" w:asciiTheme="majorEastAsia" w:hAnsiTheme="majorEastAsia" w:eastAsiaTheme="majorEastAsia"/>
          <w:szCs w:val="21"/>
        </w:rPr>
      </w:pPr>
    </w:p>
    <w:p w14:paraId="62542196">
      <w:pPr>
        <w:spacing w:line="360" w:lineRule="auto"/>
        <w:ind w:firstLine="420" w:firstLineChars="200"/>
        <w:rPr>
          <w:rFonts w:cs="宋体" w:asciiTheme="majorEastAsia" w:hAnsiTheme="majorEastAsia" w:eastAsiaTheme="majorEastAsia"/>
          <w:szCs w:val="21"/>
        </w:rPr>
      </w:pPr>
    </w:p>
    <w:p w14:paraId="55E48EF8">
      <w:pPr>
        <w:spacing w:line="360" w:lineRule="auto"/>
        <w:ind w:firstLine="420" w:firstLineChars="200"/>
        <w:rPr>
          <w:rFonts w:cs="宋体" w:asciiTheme="majorEastAsia" w:hAnsiTheme="majorEastAsia" w:eastAsiaTheme="majorEastAsia"/>
          <w:szCs w:val="21"/>
        </w:rPr>
      </w:pPr>
    </w:p>
    <w:p w14:paraId="6F27A2C5">
      <w:pPr>
        <w:spacing w:line="360" w:lineRule="auto"/>
        <w:ind w:firstLine="420" w:firstLineChars="200"/>
        <w:rPr>
          <w:rFonts w:cs="宋体" w:asciiTheme="majorEastAsia" w:hAnsiTheme="majorEastAsia" w:eastAsiaTheme="majorEastAsia"/>
          <w:szCs w:val="21"/>
        </w:rPr>
      </w:pPr>
    </w:p>
    <w:p w14:paraId="1D283C16">
      <w:pPr>
        <w:spacing w:line="360" w:lineRule="auto"/>
        <w:rPr>
          <w:rFonts w:cs="宋体" w:asciiTheme="majorEastAsia" w:hAnsiTheme="majorEastAsia" w:eastAsiaTheme="majorEastAsia"/>
          <w:szCs w:val="21"/>
        </w:rPr>
      </w:pPr>
    </w:p>
    <w:p w14:paraId="3D533CD6">
      <w:pPr>
        <w:pStyle w:val="5"/>
        <w:jc w:val="center"/>
        <w:rPr>
          <w:rFonts w:cs="宋体" w:asciiTheme="majorEastAsia" w:hAnsiTheme="majorEastAsia" w:eastAsiaTheme="majorEastAsia"/>
        </w:rPr>
      </w:pPr>
      <w:bookmarkStart w:id="51" w:name="_Toc25547"/>
      <w:bookmarkStart w:id="52" w:name="_Toc522523995"/>
    </w:p>
    <w:p w14:paraId="2259370A">
      <w:pPr>
        <w:pStyle w:val="5"/>
        <w:jc w:val="center"/>
        <w:rPr>
          <w:rFonts w:cs="宋体" w:asciiTheme="majorEastAsia" w:hAnsiTheme="majorEastAsia" w:eastAsiaTheme="majorEastAsia"/>
        </w:rPr>
      </w:pPr>
      <w:r>
        <w:rPr>
          <w:rFonts w:hint="eastAsia" w:cs="宋体" w:asciiTheme="majorEastAsia" w:hAnsiTheme="majorEastAsia" w:eastAsiaTheme="majorEastAsia"/>
        </w:rPr>
        <w:t>五、诚信谈判响应承诺书</w:t>
      </w:r>
      <w:bookmarkEnd w:id="51"/>
      <w:bookmarkEnd w:id="52"/>
    </w:p>
    <w:p w14:paraId="5B0BF936">
      <w:pPr>
        <w:rPr>
          <w:rFonts w:cs="宋体" w:asciiTheme="majorEastAsia" w:hAnsiTheme="majorEastAsia" w:eastAsiaTheme="majorEastAsia"/>
          <w:b/>
          <w:bCs/>
          <w:sz w:val="24"/>
        </w:rPr>
      </w:pPr>
    </w:p>
    <w:p w14:paraId="4F3A0995">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本人以企业法定代表人的身份郑重承诺：</w:t>
      </w:r>
    </w:p>
    <w:p w14:paraId="44E3F376">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一、将遵循公开、公正和诚实信用的原则自愿参加</w:t>
      </w:r>
      <w:r>
        <w:rPr>
          <w:rFonts w:hint="eastAsia" w:cs="宋体" w:asciiTheme="majorEastAsia" w:hAnsiTheme="majorEastAsia" w:eastAsiaTheme="majorEastAsia"/>
          <w:b w:val="0"/>
          <w:bCs w:val="0"/>
          <w:szCs w:val="21"/>
          <w:u w:val="single"/>
        </w:rPr>
        <w:t xml:space="preserve">                </w:t>
      </w:r>
      <w:r>
        <w:rPr>
          <w:rFonts w:hint="eastAsia" w:cs="宋体" w:asciiTheme="majorEastAsia" w:hAnsiTheme="majorEastAsia" w:eastAsiaTheme="majorEastAsia"/>
          <w:b w:val="0"/>
          <w:bCs w:val="0"/>
          <w:szCs w:val="21"/>
        </w:rPr>
        <w:t>项目的竞争性谈判活动；</w:t>
      </w:r>
    </w:p>
    <w:p w14:paraId="6D647DCF">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二、所提供的一切材料都是真实、有效、合法的；  </w:t>
      </w:r>
    </w:p>
    <w:p w14:paraId="05CA7A2B">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三、不出借、转让资质证书，不让他人挂靠谈判，不以他人名义谈判响应或者以其他方式弄虚作假，骗取成交；  </w:t>
      </w:r>
    </w:p>
    <w:p w14:paraId="6C59C75E">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四、不与其他谈判响应人相互串通报价，不排挤其他谈判响应人的公平竞争、损害采购人的合法权益；  </w:t>
      </w:r>
    </w:p>
    <w:p w14:paraId="2CDA80A9">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五、不与采购单位或其他谈判响应人串通谈判，损害国家利益、社会公共利益或者他人的合法权益；  </w:t>
      </w:r>
    </w:p>
    <w:p w14:paraId="4884394A">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六、严格遵守开标现场纪律，服从监管人员管理；  </w:t>
      </w:r>
    </w:p>
    <w:p w14:paraId="02DBE51A">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七、保证成交后不转包，若有合法分包征得采购人同意；</w:t>
      </w:r>
    </w:p>
    <w:p w14:paraId="67FA4E99">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八、保证成交之后，按照谈判响应文件承诺提供货物、服务及派驻人员；</w:t>
      </w:r>
    </w:p>
    <w:p w14:paraId="06D3B9CB">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九、保证企业及所属相关人员在本次谈判响应中无行贿等犯罪行为；</w:t>
      </w:r>
    </w:p>
    <w:p w14:paraId="5E229642">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十、我方保证对本次竞争性谈判活动有任何疑问或投诉，都依法在规定的时间内提出。否则，不针对本次竞争性谈判活动提出任何质疑或投诉。</w:t>
      </w:r>
    </w:p>
    <w:p w14:paraId="5C54C503">
      <w:pPr>
        <w:spacing w:line="440" w:lineRule="exact"/>
        <w:ind w:firstLine="420" w:firstLineChars="200"/>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以上内容我已仔细阅读，本公司若有违反承诺内容的行为，自愿承担竞争性谈判文件确定的责任和法律责任并接受相关行政部门给予的处理和处罚。给采购人造成损失的，依法承担赔偿责任。</w:t>
      </w:r>
    </w:p>
    <w:p w14:paraId="3260C9E3">
      <w:pPr>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  </w:t>
      </w:r>
    </w:p>
    <w:p w14:paraId="12AB5F74">
      <w:pPr>
        <w:rPr>
          <w:rFonts w:cs="宋体" w:asciiTheme="majorEastAsia" w:hAnsiTheme="majorEastAsia" w:eastAsiaTheme="majorEastAsia"/>
          <w:b w:val="0"/>
          <w:bCs w:val="0"/>
          <w:szCs w:val="21"/>
        </w:rPr>
      </w:pPr>
    </w:p>
    <w:p w14:paraId="6938BEA5">
      <w:pPr>
        <w:jc w:val="center"/>
        <w:rPr>
          <w:rFonts w:cs="宋体" w:asciiTheme="majorEastAsia" w:hAnsiTheme="majorEastAsia" w:eastAsiaTheme="majorEastAsia"/>
          <w:b w:val="0"/>
          <w:bCs w:val="0"/>
          <w:szCs w:val="21"/>
        </w:rPr>
      </w:pPr>
      <w:r>
        <w:rPr>
          <w:rFonts w:hint="eastAsia" w:cs="宋体" w:asciiTheme="majorEastAsia" w:hAnsiTheme="majorEastAsia" w:eastAsiaTheme="majorEastAsia"/>
          <w:b w:val="0"/>
          <w:bCs w:val="0"/>
          <w:szCs w:val="21"/>
        </w:rPr>
        <w:t xml:space="preserve">                                      谈判响应人（盖章）：</w:t>
      </w:r>
    </w:p>
    <w:p w14:paraId="18401BBB">
      <w:pPr>
        <w:jc w:val="right"/>
        <w:rPr>
          <w:rFonts w:cs="宋体" w:asciiTheme="majorEastAsia" w:hAnsiTheme="majorEastAsia" w:eastAsiaTheme="majorEastAsia"/>
          <w:b w:val="0"/>
          <w:bCs w:val="0"/>
          <w:szCs w:val="21"/>
        </w:rPr>
      </w:pPr>
    </w:p>
    <w:p w14:paraId="3211769B">
      <w:pPr>
        <w:spacing w:line="360" w:lineRule="auto"/>
        <w:ind w:firstLine="3465" w:firstLineChars="1650"/>
        <w:rPr>
          <w:rFonts w:ascii="宋体" w:hAnsi="宋体" w:cs="宋体"/>
          <w:b w:val="0"/>
          <w:bCs w:val="0"/>
          <w:szCs w:val="21"/>
        </w:rPr>
      </w:pPr>
      <w:r>
        <w:rPr>
          <w:rFonts w:hint="eastAsia" w:cs="宋体" w:asciiTheme="majorEastAsia" w:hAnsiTheme="majorEastAsia" w:eastAsiaTheme="majorEastAsia"/>
          <w:b w:val="0"/>
          <w:bCs w:val="0"/>
          <w:szCs w:val="21"/>
        </w:rPr>
        <w:t xml:space="preserve">                     </w:t>
      </w:r>
      <w:r>
        <w:rPr>
          <w:rFonts w:hint="eastAsia" w:ascii="宋体" w:hAnsi="宋体" w:cs="宋体"/>
          <w:b w:val="0"/>
          <w:bCs w:val="0"/>
          <w:szCs w:val="21"/>
        </w:rPr>
        <w:t>法定代表人或</w:t>
      </w:r>
    </w:p>
    <w:p w14:paraId="562A10C3">
      <w:pPr>
        <w:spacing w:line="360" w:lineRule="auto"/>
        <w:ind w:firstLine="5670" w:firstLineChars="2700"/>
        <w:rPr>
          <w:rFonts w:ascii="宋体" w:hAnsi="宋体" w:cs="宋体"/>
          <w:b w:val="0"/>
          <w:bCs w:val="0"/>
          <w:szCs w:val="21"/>
        </w:rPr>
      </w:pPr>
      <w:r>
        <w:rPr>
          <w:rFonts w:hint="eastAsia" w:ascii="宋体" w:hAnsi="宋体" w:cs="宋体"/>
          <w:b w:val="0"/>
          <w:bCs w:val="0"/>
          <w:szCs w:val="21"/>
        </w:rPr>
        <w:t>委托代理人：</w:t>
      </w:r>
      <w:r>
        <w:rPr>
          <w:rFonts w:hint="eastAsia" w:ascii="宋体" w:hAnsi="宋体" w:cs="宋体"/>
          <w:b w:val="0"/>
          <w:bCs w:val="0"/>
          <w:szCs w:val="21"/>
          <w:u w:val="single"/>
        </w:rPr>
        <w:t xml:space="preserve">    </w:t>
      </w:r>
      <w:r>
        <w:rPr>
          <w:rFonts w:hint="eastAsia" w:ascii="宋体" w:hAnsi="宋体" w:cs="宋体"/>
          <w:b w:val="0"/>
          <w:bCs w:val="0"/>
          <w:szCs w:val="21"/>
        </w:rPr>
        <w:t>（签字或盖章）</w:t>
      </w:r>
    </w:p>
    <w:p w14:paraId="08813BB7">
      <w:pPr>
        <w:jc w:val="center"/>
        <w:rPr>
          <w:rFonts w:cs="宋体" w:asciiTheme="majorEastAsia" w:hAnsiTheme="majorEastAsia" w:eastAsiaTheme="majorEastAsia"/>
          <w:b w:val="0"/>
          <w:bCs w:val="0"/>
          <w:szCs w:val="21"/>
        </w:rPr>
      </w:pPr>
    </w:p>
    <w:p w14:paraId="66EE13DD">
      <w:pPr>
        <w:ind w:right="480"/>
        <w:jc w:val="center"/>
        <w:rPr>
          <w:rFonts w:cs="宋体" w:asciiTheme="majorEastAsia" w:hAnsiTheme="majorEastAsia" w:eastAsiaTheme="majorEastAsia"/>
          <w:b w:val="0"/>
          <w:bCs w:val="0"/>
          <w:sz w:val="24"/>
        </w:rPr>
      </w:pPr>
      <w:r>
        <w:rPr>
          <w:rFonts w:hint="eastAsia" w:cs="宋体" w:asciiTheme="majorEastAsia" w:hAnsiTheme="majorEastAsia" w:eastAsiaTheme="majorEastAsia"/>
          <w:b w:val="0"/>
          <w:bCs w:val="0"/>
          <w:szCs w:val="21"/>
        </w:rPr>
        <w:t xml:space="preserve">                                               日期：_____年____月____日</w:t>
      </w:r>
      <w:bookmarkStart w:id="53" w:name="_Toc22272"/>
    </w:p>
    <w:p w14:paraId="0D6A53BA">
      <w:pPr>
        <w:ind w:right="480"/>
        <w:jc w:val="center"/>
        <w:rPr>
          <w:rFonts w:cs="宋体" w:asciiTheme="majorEastAsia" w:hAnsiTheme="majorEastAsia" w:eastAsiaTheme="majorEastAsia"/>
          <w:b w:val="0"/>
          <w:bCs w:val="0"/>
          <w:sz w:val="24"/>
        </w:rPr>
      </w:pPr>
    </w:p>
    <w:p w14:paraId="11826036">
      <w:pPr>
        <w:ind w:right="480"/>
        <w:jc w:val="center"/>
        <w:rPr>
          <w:rFonts w:cs="宋体" w:asciiTheme="majorEastAsia" w:hAnsiTheme="majorEastAsia" w:eastAsiaTheme="majorEastAsia"/>
          <w:b/>
          <w:bCs/>
          <w:sz w:val="24"/>
        </w:rPr>
      </w:pPr>
    </w:p>
    <w:p w14:paraId="50064B7B">
      <w:pPr>
        <w:ind w:right="480"/>
        <w:jc w:val="center"/>
        <w:rPr>
          <w:rFonts w:cs="宋体" w:asciiTheme="majorEastAsia" w:hAnsiTheme="majorEastAsia" w:eastAsiaTheme="majorEastAsia"/>
          <w:b/>
          <w:bCs/>
          <w:sz w:val="24"/>
        </w:rPr>
      </w:pPr>
    </w:p>
    <w:p w14:paraId="24991AC3">
      <w:pPr>
        <w:ind w:right="480"/>
        <w:jc w:val="center"/>
        <w:rPr>
          <w:rFonts w:cs="宋体" w:asciiTheme="majorEastAsia" w:hAnsiTheme="majorEastAsia" w:eastAsiaTheme="majorEastAsia"/>
          <w:b/>
          <w:bCs/>
          <w:sz w:val="24"/>
        </w:rPr>
      </w:pPr>
    </w:p>
    <w:p w14:paraId="4AEAFA63">
      <w:pPr>
        <w:ind w:right="480"/>
        <w:jc w:val="center"/>
        <w:rPr>
          <w:rFonts w:cs="宋体" w:asciiTheme="majorEastAsia" w:hAnsiTheme="majorEastAsia" w:eastAsiaTheme="majorEastAsia"/>
          <w:b/>
          <w:bCs/>
          <w:sz w:val="24"/>
        </w:rPr>
      </w:pPr>
    </w:p>
    <w:p w14:paraId="0400107D">
      <w:pPr>
        <w:ind w:right="480"/>
        <w:jc w:val="center"/>
        <w:rPr>
          <w:rFonts w:cs="宋体" w:asciiTheme="majorEastAsia" w:hAnsiTheme="majorEastAsia" w:eastAsiaTheme="majorEastAsia"/>
          <w:b/>
          <w:bCs/>
          <w:sz w:val="24"/>
        </w:rPr>
      </w:pPr>
    </w:p>
    <w:p w14:paraId="6F854073">
      <w:pPr>
        <w:ind w:right="480"/>
        <w:jc w:val="center"/>
        <w:rPr>
          <w:rFonts w:cs="宋体" w:asciiTheme="majorEastAsia" w:hAnsiTheme="majorEastAsia" w:eastAsiaTheme="majorEastAsia"/>
          <w:b/>
          <w:bCs/>
          <w:sz w:val="24"/>
        </w:rPr>
      </w:pPr>
    </w:p>
    <w:p w14:paraId="7267789B">
      <w:pPr>
        <w:ind w:right="480"/>
        <w:jc w:val="center"/>
        <w:rPr>
          <w:rFonts w:cs="宋体" w:asciiTheme="majorEastAsia" w:hAnsiTheme="majorEastAsia" w:eastAsiaTheme="majorEastAsia"/>
          <w:b/>
          <w:bCs/>
          <w:sz w:val="24"/>
        </w:rPr>
      </w:pPr>
    </w:p>
    <w:bookmarkEnd w:id="53"/>
    <w:p w14:paraId="51160680">
      <w:pPr>
        <w:pStyle w:val="5"/>
        <w:jc w:val="center"/>
        <w:rPr>
          <w:rFonts w:cs="宋体" w:asciiTheme="majorEastAsia" w:hAnsiTheme="majorEastAsia" w:eastAsiaTheme="majorEastAsia"/>
          <w:bdr w:val="single" w:color="auto" w:sz="4" w:space="0"/>
        </w:rPr>
      </w:pPr>
      <w:bookmarkStart w:id="54" w:name="_Toc522523996"/>
      <w:r>
        <w:rPr>
          <w:rFonts w:hint="eastAsia" w:cs="宋体" w:asciiTheme="majorEastAsia" w:hAnsiTheme="majorEastAsia" w:eastAsiaTheme="majorEastAsia"/>
        </w:rPr>
        <w:t>六、资格证明文件</w:t>
      </w:r>
      <w:bookmarkEnd w:id="54"/>
    </w:p>
    <w:p w14:paraId="6092D89F">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1、营业执照及</w:t>
      </w:r>
      <w:r>
        <w:rPr>
          <w:rFonts w:hint="eastAsia" w:ascii="宋体" w:hAnsi="宋体" w:cs="宋体"/>
        </w:rPr>
        <w:t>会计师事务所执业证书</w:t>
      </w:r>
      <w:r>
        <w:rPr>
          <w:rFonts w:hint="eastAsia" w:cs="宋体" w:asciiTheme="majorEastAsia" w:hAnsiTheme="majorEastAsia" w:eastAsiaTheme="majorEastAsia"/>
          <w:szCs w:val="21"/>
        </w:rPr>
        <w:t>；</w:t>
      </w:r>
    </w:p>
    <w:p w14:paraId="136286D3">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2、法定代表人身份证明书（格式见附件）及其有效二代居民身份证；</w:t>
      </w:r>
    </w:p>
    <w:p w14:paraId="530EDF95">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3、法定代表人授权委托书（格式见附件）及其委托代理人有效二代居民身份证，若法定代表人现场参与谈判则不需此件；</w:t>
      </w:r>
    </w:p>
    <w:p w14:paraId="37409E29">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4、履行合同所必需的专业技术能力证明文件；</w:t>
      </w:r>
    </w:p>
    <w:p w14:paraId="5C6F720C">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服务本项目人员一览表</w:t>
      </w:r>
    </w:p>
    <w:tbl>
      <w:tblPr>
        <w:tblStyle w:val="23"/>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1142"/>
        <w:gridCol w:w="1819"/>
      </w:tblGrid>
      <w:tr w14:paraId="17B4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14:paraId="23C232A2">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类别</w:t>
            </w:r>
          </w:p>
        </w:tc>
        <w:tc>
          <w:tcPr>
            <w:tcW w:w="1187" w:type="dxa"/>
            <w:vMerge w:val="restart"/>
            <w:vAlign w:val="center"/>
          </w:tcPr>
          <w:p w14:paraId="127F7D32">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姓名</w:t>
            </w:r>
          </w:p>
        </w:tc>
        <w:tc>
          <w:tcPr>
            <w:tcW w:w="1185" w:type="dxa"/>
            <w:vMerge w:val="restart"/>
            <w:vAlign w:val="center"/>
          </w:tcPr>
          <w:p w14:paraId="513115F1">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职务</w:t>
            </w:r>
          </w:p>
        </w:tc>
        <w:tc>
          <w:tcPr>
            <w:tcW w:w="1185" w:type="dxa"/>
            <w:vMerge w:val="restart"/>
            <w:vAlign w:val="center"/>
          </w:tcPr>
          <w:p w14:paraId="3CCA3545">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职称</w:t>
            </w:r>
          </w:p>
        </w:tc>
        <w:tc>
          <w:tcPr>
            <w:tcW w:w="1974" w:type="dxa"/>
            <w:vMerge w:val="restart"/>
            <w:vAlign w:val="center"/>
          </w:tcPr>
          <w:p w14:paraId="0B794B50">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手机号</w:t>
            </w:r>
          </w:p>
        </w:tc>
        <w:tc>
          <w:tcPr>
            <w:tcW w:w="2961" w:type="dxa"/>
            <w:gridSpan w:val="2"/>
            <w:vAlign w:val="center"/>
          </w:tcPr>
          <w:p w14:paraId="6D36DCAE">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证件</w:t>
            </w:r>
          </w:p>
        </w:tc>
      </w:tr>
      <w:tr w14:paraId="0AC9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4B63A2B1">
            <w:pPr>
              <w:spacing w:before="100" w:beforeAutospacing="1" w:after="100" w:afterAutospacing="1" w:line="360" w:lineRule="auto"/>
              <w:ind w:firstLine="420" w:firstLineChars="200"/>
              <w:jc w:val="center"/>
              <w:rPr>
                <w:rFonts w:cs="宋体" w:asciiTheme="majorEastAsia" w:hAnsiTheme="majorEastAsia" w:eastAsiaTheme="majorEastAsia"/>
                <w:szCs w:val="21"/>
              </w:rPr>
            </w:pPr>
          </w:p>
        </w:tc>
        <w:tc>
          <w:tcPr>
            <w:tcW w:w="1187" w:type="dxa"/>
            <w:vMerge w:val="continue"/>
            <w:vAlign w:val="center"/>
          </w:tcPr>
          <w:p w14:paraId="202991E5">
            <w:pPr>
              <w:spacing w:before="100" w:beforeAutospacing="1" w:after="100" w:afterAutospacing="1" w:line="360" w:lineRule="auto"/>
              <w:ind w:firstLine="420" w:firstLineChars="200"/>
              <w:jc w:val="center"/>
              <w:rPr>
                <w:rFonts w:cs="宋体" w:asciiTheme="majorEastAsia" w:hAnsiTheme="majorEastAsia" w:eastAsiaTheme="majorEastAsia"/>
                <w:szCs w:val="21"/>
              </w:rPr>
            </w:pPr>
          </w:p>
        </w:tc>
        <w:tc>
          <w:tcPr>
            <w:tcW w:w="1185" w:type="dxa"/>
            <w:vMerge w:val="continue"/>
            <w:vAlign w:val="center"/>
          </w:tcPr>
          <w:p w14:paraId="7F68F59D">
            <w:pPr>
              <w:spacing w:before="100" w:beforeAutospacing="1" w:after="100" w:afterAutospacing="1" w:line="360" w:lineRule="auto"/>
              <w:ind w:firstLine="420" w:firstLineChars="200"/>
              <w:jc w:val="center"/>
              <w:rPr>
                <w:rFonts w:cs="宋体" w:asciiTheme="majorEastAsia" w:hAnsiTheme="majorEastAsia" w:eastAsiaTheme="majorEastAsia"/>
                <w:szCs w:val="21"/>
              </w:rPr>
            </w:pPr>
          </w:p>
        </w:tc>
        <w:tc>
          <w:tcPr>
            <w:tcW w:w="1185" w:type="dxa"/>
            <w:vMerge w:val="continue"/>
            <w:vAlign w:val="center"/>
          </w:tcPr>
          <w:p w14:paraId="16CF6A48">
            <w:pPr>
              <w:spacing w:before="100" w:beforeAutospacing="1" w:after="100" w:afterAutospacing="1" w:line="360" w:lineRule="auto"/>
              <w:ind w:firstLine="420" w:firstLineChars="200"/>
              <w:jc w:val="center"/>
              <w:rPr>
                <w:rFonts w:cs="宋体" w:asciiTheme="majorEastAsia" w:hAnsiTheme="majorEastAsia" w:eastAsiaTheme="majorEastAsia"/>
                <w:szCs w:val="21"/>
              </w:rPr>
            </w:pPr>
          </w:p>
        </w:tc>
        <w:tc>
          <w:tcPr>
            <w:tcW w:w="1974" w:type="dxa"/>
            <w:vMerge w:val="continue"/>
            <w:vAlign w:val="center"/>
          </w:tcPr>
          <w:p w14:paraId="6CCF2068">
            <w:pPr>
              <w:spacing w:before="100" w:beforeAutospacing="1" w:after="100" w:afterAutospacing="1" w:line="360" w:lineRule="auto"/>
              <w:ind w:firstLine="420" w:firstLineChars="200"/>
              <w:jc w:val="center"/>
              <w:rPr>
                <w:rFonts w:cs="宋体" w:asciiTheme="majorEastAsia" w:hAnsiTheme="majorEastAsia" w:eastAsiaTheme="majorEastAsia"/>
                <w:szCs w:val="21"/>
              </w:rPr>
            </w:pPr>
          </w:p>
        </w:tc>
        <w:tc>
          <w:tcPr>
            <w:tcW w:w="1142" w:type="dxa"/>
            <w:vAlign w:val="center"/>
          </w:tcPr>
          <w:p w14:paraId="66215EF0">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名称</w:t>
            </w:r>
          </w:p>
        </w:tc>
        <w:tc>
          <w:tcPr>
            <w:tcW w:w="1819" w:type="dxa"/>
            <w:vAlign w:val="center"/>
          </w:tcPr>
          <w:p w14:paraId="22A6CB85">
            <w:pPr>
              <w:spacing w:before="100" w:beforeAutospacing="1" w:after="100" w:afterAutospacing="1" w:line="360" w:lineRule="auto"/>
              <w:jc w:val="center"/>
              <w:rPr>
                <w:rFonts w:cs="宋体" w:asciiTheme="majorEastAsia" w:hAnsiTheme="majorEastAsia" w:eastAsiaTheme="majorEastAsia"/>
                <w:szCs w:val="21"/>
              </w:rPr>
            </w:pPr>
            <w:r>
              <w:rPr>
                <w:rFonts w:hint="eastAsia" w:cs="宋体" w:asciiTheme="majorEastAsia" w:hAnsiTheme="majorEastAsia" w:eastAsiaTheme="majorEastAsia"/>
                <w:szCs w:val="21"/>
              </w:rPr>
              <w:t>号码</w:t>
            </w:r>
          </w:p>
        </w:tc>
      </w:tr>
      <w:tr w14:paraId="7BC8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14:paraId="4BB39BF5">
            <w:pPr>
              <w:spacing w:before="100" w:beforeAutospacing="1" w:after="100" w:afterAutospacing="1"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管理人员</w:t>
            </w:r>
          </w:p>
        </w:tc>
        <w:tc>
          <w:tcPr>
            <w:tcW w:w="1187" w:type="dxa"/>
          </w:tcPr>
          <w:p w14:paraId="23F42F3D">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07DB330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402A0F4A">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22BD7DD9">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22F8DF9D">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41EF4ED5">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4CDC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50A337EF">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4DB710A3">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69D278CE">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3548BDDB">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1BB581F6">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19C7718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062CB9DA">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4E9FF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33B5ED51">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021C991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79638B60">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1F8ADFA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265172EE">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6046F1A4">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783351A6">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467E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14:paraId="55D93C7C">
            <w:pPr>
              <w:spacing w:before="100" w:beforeAutospacing="1" w:after="100" w:afterAutospacing="1"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技术人员</w:t>
            </w:r>
          </w:p>
        </w:tc>
        <w:tc>
          <w:tcPr>
            <w:tcW w:w="1187" w:type="dxa"/>
          </w:tcPr>
          <w:p w14:paraId="3D6FF182">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07344646">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6CD1815C">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03E7B288">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71827BB4">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794A8598">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5C7A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73A480F0">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00C8AF00">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6924B6AE">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0A29F412">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3F48B421">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1474A335">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36620020">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13FE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14:paraId="06F3905A">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7D7FD750">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4406898B">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318CA913">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0932EB5E">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25F0FEF8">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4F72076E">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65BD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14:paraId="4572DFF8">
            <w:pPr>
              <w:spacing w:before="100" w:beforeAutospacing="1" w:after="100" w:afterAutospacing="1" w:line="360" w:lineRule="auto"/>
              <w:ind w:firstLine="630" w:firstLineChars="300"/>
              <w:rPr>
                <w:rFonts w:cs="宋体" w:asciiTheme="majorEastAsia" w:hAnsiTheme="majorEastAsia" w:eastAsiaTheme="majorEastAsia"/>
                <w:szCs w:val="21"/>
              </w:rPr>
            </w:pPr>
            <w:r>
              <w:rPr>
                <w:rFonts w:hint="eastAsia" w:cs="宋体" w:asciiTheme="majorEastAsia" w:hAnsiTheme="majorEastAsia" w:eastAsiaTheme="majorEastAsia"/>
                <w:szCs w:val="21"/>
              </w:rPr>
              <w:t>其他</w:t>
            </w:r>
          </w:p>
        </w:tc>
        <w:tc>
          <w:tcPr>
            <w:tcW w:w="1187" w:type="dxa"/>
          </w:tcPr>
          <w:p w14:paraId="42B3BDE1">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27245329">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64E2905C">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3BE0F515">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6192F20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741D204E">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2DDF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14:paraId="44385FA8">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65E0EBC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52C96DA6">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3DBA7A5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0AFE9D0C">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574BDE05">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09A0A426">
            <w:pPr>
              <w:spacing w:before="100" w:beforeAutospacing="1" w:after="100" w:afterAutospacing="1" w:line="360" w:lineRule="auto"/>
              <w:ind w:firstLine="420" w:firstLineChars="200"/>
              <w:rPr>
                <w:rFonts w:cs="宋体" w:asciiTheme="majorEastAsia" w:hAnsiTheme="majorEastAsia" w:eastAsiaTheme="majorEastAsia"/>
                <w:szCs w:val="21"/>
              </w:rPr>
            </w:pPr>
          </w:p>
        </w:tc>
      </w:tr>
      <w:tr w14:paraId="47DD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14:paraId="33A8B540">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7" w:type="dxa"/>
          </w:tcPr>
          <w:p w14:paraId="5EB545FC">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71DCD06E">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85" w:type="dxa"/>
          </w:tcPr>
          <w:p w14:paraId="4196576D">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974" w:type="dxa"/>
          </w:tcPr>
          <w:p w14:paraId="17794F17">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142" w:type="dxa"/>
          </w:tcPr>
          <w:p w14:paraId="011D7B56">
            <w:pPr>
              <w:spacing w:before="100" w:beforeAutospacing="1" w:after="100" w:afterAutospacing="1" w:line="360" w:lineRule="auto"/>
              <w:ind w:firstLine="420" w:firstLineChars="200"/>
              <w:rPr>
                <w:rFonts w:cs="宋体" w:asciiTheme="majorEastAsia" w:hAnsiTheme="majorEastAsia" w:eastAsiaTheme="majorEastAsia"/>
                <w:szCs w:val="21"/>
              </w:rPr>
            </w:pPr>
          </w:p>
        </w:tc>
        <w:tc>
          <w:tcPr>
            <w:tcW w:w="1819" w:type="dxa"/>
          </w:tcPr>
          <w:p w14:paraId="2149F092">
            <w:pPr>
              <w:spacing w:before="100" w:beforeAutospacing="1" w:after="100" w:afterAutospacing="1" w:line="360" w:lineRule="auto"/>
              <w:ind w:firstLine="420" w:firstLineChars="200"/>
              <w:rPr>
                <w:rFonts w:cs="宋体" w:asciiTheme="majorEastAsia" w:hAnsiTheme="majorEastAsia" w:eastAsiaTheme="majorEastAsia"/>
                <w:szCs w:val="21"/>
              </w:rPr>
            </w:pPr>
          </w:p>
        </w:tc>
      </w:tr>
    </w:tbl>
    <w:p w14:paraId="36D5B67B">
      <w:pPr>
        <w:spacing w:line="360" w:lineRule="auto"/>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5、本项目竞争性谈判文件中要求谈判响应人提供的其他资格条件证明材料。</w:t>
      </w:r>
    </w:p>
    <w:p w14:paraId="3212D424">
      <w:pPr>
        <w:spacing w:line="360" w:lineRule="auto"/>
        <w:ind w:firstLine="411" w:firstLineChars="196"/>
        <w:jc w:val="center"/>
        <w:rPr>
          <w:rFonts w:cs="宋体" w:asciiTheme="majorEastAsia" w:hAnsiTheme="majorEastAsia" w:eastAsiaTheme="majorEastAsia"/>
          <w:szCs w:val="21"/>
        </w:rPr>
      </w:pPr>
    </w:p>
    <w:p w14:paraId="2E4D9083">
      <w:pPr>
        <w:spacing w:line="360" w:lineRule="auto"/>
        <w:jc w:val="left"/>
        <w:rPr>
          <w:rFonts w:ascii="宋体" w:hAnsi="宋体" w:cs="宋体"/>
          <w:b/>
          <w:sz w:val="24"/>
        </w:rPr>
      </w:pPr>
    </w:p>
    <w:p w14:paraId="17D97983">
      <w:pPr>
        <w:pStyle w:val="2"/>
        <w:rPr>
          <w:rFonts w:ascii="宋体" w:hAnsi="宋体" w:cs="宋体"/>
          <w:b/>
          <w:sz w:val="24"/>
        </w:rPr>
      </w:pPr>
    </w:p>
    <w:p w14:paraId="70F78294">
      <w:pPr>
        <w:rPr>
          <w:rFonts w:ascii="宋体" w:hAnsi="宋体" w:cs="宋体"/>
          <w:b/>
          <w:sz w:val="24"/>
        </w:rPr>
      </w:pPr>
    </w:p>
    <w:p w14:paraId="1EEAC42D">
      <w:pPr>
        <w:pStyle w:val="2"/>
        <w:rPr>
          <w:rFonts w:ascii="宋体" w:hAnsi="宋体" w:cs="宋体"/>
          <w:b/>
          <w:sz w:val="24"/>
        </w:rPr>
      </w:pPr>
    </w:p>
    <w:p w14:paraId="19C49A94">
      <w:pPr>
        <w:rPr>
          <w:rFonts w:ascii="宋体" w:hAnsi="宋体" w:cs="宋体"/>
          <w:b/>
          <w:sz w:val="24"/>
        </w:rPr>
      </w:pPr>
    </w:p>
    <w:p w14:paraId="774424C7">
      <w:pPr>
        <w:pStyle w:val="2"/>
        <w:rPr>
          <w:rFonts w:ascii="宋体" w:hAnsi="宋体" w:cs="宋体"/>
          <w:b/>
          <w:sz w:val="24"/>
        </w:rPr>
      </w:pPr>
    </w:p>
    <w:p w14:paraId="4AE80E0A">
      <w:pPr>
        <w:rPr>
          <w:rFonts w:ascii="宋体" w:hAnsi="宋体" w:cs="宋体"/>
          <w:b/>
          <w:sz w:val="24"/>
        </w:rPr>
      </w:pPr>
    </w:p>
    <w:p w14:paraId="3B700F28">
      <w:pPr>
        <w:pStyle w:val="2"/>
        <w:rPr>
          <w:rFonts w:ascii="宋体" w:hAnsi="宋体" w:cs="宋体"/>
          <w:b/>
          <w:sz w:val="24"/>
        </w:rPr>
      </w:pPr>
    </w:p>
    <w:p w14:paraId="02D5CE05">
      <w:pPr>
        <w:rPr>
          <w:rFonts w:ascii="宋体" w:hAnsi="宋体" w:cs="宋体"/>
          <w:b/>
          <w:sz w:val="24"/>
        </w:rPr>
      </w:pPr>
    </w:p>
    <w:p w14:paraId="3188F312">
      <w:pPr>
        <w:pStyle w:val="2"/>
        <w:rPr>
          <w:rFonts w:ascii="宋体" w:hAnsi="宋体" w:cs="宋体"/>
          <w:b/>
          <w:sz w:val="24"/>
        </w:rPr>
      </w:pPr>
    </w:p>
    <w:p w14:paraId="539BFEB1">
      <w:pPr>
        <w:rPr>
          <w:rFonts w:ascii="宋体" w:hAnsi="宋体" w:cs="宋体"/>
          <w:b/>
          <w:sz w:val="24"/>
        </w:rPr>
      </w:pPr>
    </w:p>
    <w:p w14:paraId="5731DC0C">
      <w:pPr>
        <w:pStyle w:val="2"/>
      </w:pPr>
    </w:p>
    <w:p w14:paraId="52834312">
      <w:pPr>
        <w:spacing w:line="360" w:lineRule="auto"/>
        <w:jc w:val="left"/>
        <w:rPr>
          <w:rFonts w:ascii="宋体" w:hAnsi="宋体" w:cs="宋体"/>
          <w:b/>
          <w:sz w:val="24"/>
        </w:rPr>
      </w:pPr>
      <w:r>
        <w:rPr>
          <w:rFonts w:hint="eastAsia" w:ascii="宋体" w:hAnsi="宋体" w:cs="宋体"/>
          <w:b/>
          <w:sz w:val="24"/>
        </w:rPr>
        <w:t>附 件：</w:t>
      </w:r>
    </w:p>
    <w:p w14:paraId="643FE7AB">
      <w:pPr>
        <w:spacing w:line="360" w:lineRule="auto"/>
        <w:ind w:firstLine="413" w:firstLineChars="196"/>
        <w:jc w:val="center"/>
        <w:rPr>
          <w:rFonts w:ascii="宋体" w:hAnsi="宋体" w:cs="宋体"/>
          <w:b/>
          <w:bCs/>
          <w:szCs w:val="21"/>
        </w:rPr>
      </w:pPr>
      <w:r>
        <w:rPr>
          <w:rFonts w:hint="eastAsia" w:ascii="宋体" w:hAnsi="宋体" w:cs="宋体"/>
          <w:b/>
          <w:bCs/>
          <w:szCs w:val="21"/>
        </w:rPr>
        <w:t>法定代表人身份证明书</w:t>
      </w:r>
    </w:p>
    <w:p w14:paraId="14BE507D">
      <w:pPr>
        <w:wordWrap w:val="0"/>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 xml:space="preserve">谈判响应人名称： </w:t>
      </w:r>
      <w:r>
        <w:rPr>
          <w:rFonts w:hint="eastAsia" w:ascii="宋体" w:hAnsi="宋体" w:cs="宋体"/>
          <w:szCs w:val="21"/>
          <w:u w:val="single"/>
        </w:rPr>
        <w:t xml:space="preserve">                       </w:t>
      </w:r>
    </w:p>
    <w:p w14:paraId="2FFD8E72">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74397038">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14:paraId="111863BA">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7683259">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0B99248">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7A7ABA2A">
      <w:pPr>
        <w:wordWrap w:val="0"/>
        <w:adjustRightInd w:val="0"/>
        <w:snapToGrid w:val="0"/>
        <w:spacing w:line="360" w:lineRule="auto"/>
        <w:ind w:firstLine="420" w:firstLineChars="200"/>
        <w:rPr>
          <w:rFonts w:ascii="宋体" w:hAnsi="宋体" w:cs="宋体"/>
          <w:szCs w:val="21"/>
        </w:rPr>
      </w:pPr>
      <w:r>
        <w:rPr>
          <w:rFonts w:hint="eastAsia" w:ascii="宋体" w:hAnsi="宋体" w:cs="宋体"/>
          <w:szCs w:val="21"/>
        </w:rPr>
        <w:t>系（谈判响应人名称）</w:t>
      </w:r>
      <w:r>
        <w:rPr>
          <w:rFonts w:hint="eastAsia" w:ascii="宋体" w:hAnsi="宋体" w:cs="宋体"/>
          <w:szCs w:val="21"/>
          <w:u w:val="single"/>
        </w:rPr>
        <w:t xml:space="preserve">             </w:t>
      </w:r>
      <w:r>
        <w:rPr>
          <w:rFonts w:hint="eastAsia" w:ascii="宋体" w:hAnsi="宋体" w:cs="宋体"/>
          <w:szCs w:val="21"/>
        </w:rPr>
        <w:t>的法定代表人。</w:t>
      </w:r>
    </w:p>
    <w:p w14:paraId="3D10A1DB">
      <w:pPr>
        <w:wordWrap w:val="0"/>
        <w:adjustRightInd w:val="0"/>
        <w:snapToGrid w:val="0"/>
        <w:spacing w:line="360" w:lineRule="auto"/>
        <w:ind w:firstLine="411" w:firstLineChars="196"/>
        <w:rPr>
          <w:rFonts w:ascii="宋体" w:hAnsi="宋体" w:cs="宋体"/>
          <w:szCs w:val="21"/>
        </w:rPr>
      </w:pPr>
      <w:r>
        <w:rPr>
          <w:rFonts w:hint="eastAsia" w:ascii="宋体" w:hAnsi="宋体" w:cs="宋体"/>
          <w:szCs w:val="21"/>
        </w:rPr>
        <w:t>特此证明。</w:t>
      </w:r>
    </w:p>
    <w:p w14:paraId="7C910794">
      <w:pPr>
        <w:wordWrap w:val="0"/>
        <w:adjustRightInd w:val="0"/>
        <w:snapToGrid w:val="0"/>
        <w:spacing w:line="360" w:lineRule="auto"/>
        <w:ind w:firstLine="4137" w:firstLineChars="197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w:t>
      </w:r>
      <w:r>
        <w:rPr>
          <w:rFonts w:hint="eastAsia" w:ascii="宋体" w:hAnsi="宋体" w:cs="宋体"/>
          <w:szCs w:val="21"/>
        </w:rPr>
        <w:t>（盖章）</w:t>
      </w:r>
    </w:p>
    <w:p w14:paraId="0BCC015A">
      <w:pPr>
        <w:wordWrap w:val="0"/>
        <w:adjustRightInd w:val="0"/>
        <w:snapToGrid w:val="0"/>
        <w:spacing w:line="360" w:lineRule="auto"/>
        <w:ind w:right="360" w:firstLine="4851" w:firstLineChars="2310"/>
        <w:jc w:val="center"/>
        <w:rPr>
          <w:rFonts w:ascii="宋体" w:hAnsi="宋体" w:cs="宋体"/>
          <w:szCs w:val="21"/>
        </w:rPr>
      </w:pPr>
      <w:r>
        <w:rPr>
          <w:rFonts w:hint="eastAsia" w:ascii="宋体" w:hAnsi="宋体" w:cs="宋体"/>
          <w:szCs w:val="21"/>
        </w:rPr>
        <w:t>日期： 年  月  日</w:t>
      </w:r>
    </w:p>
    <w:p w14:paraId="50DF0C49">
      <w:pPr>
        <w:pStyle w:val="3"/>
        <w:jc w:val="both"/>
        <w:rPr>
          <w:rFonts w:ascii="宋体" w:hAnsi="宋体" w:cs="宋体"/>
          <w:b w:val="0"/>
          <w:bCs w:val="0"/>
          <w:kern w:val="2"/>
          <w:sz w:val="21"/>
          <w:szCs w:val="21"/>
        </w:rPr>
      </w:pPr>
      <w:r>
        <w:rPr>
          <w:rFonts w:hint="eastAsia" w:ascii="宋体" w:hAnsi="宋体" w:cs="宋体"/>
          <w:b w:val="0"/>
          <w:bCs w:val="0"/>
          <w:kern w:val="2"/>
          <w:sz w:val="21"/>
          <w:szCs w:val="21"/>
        </w:rPr>
        <w:t>附：法定代表人的身份证复印件或扫描件</w:t>
      </w:r>
    </w:p>
    <w:p w14:paraId="1F8DC978">
      <w:pPr>
        <w:wordWrap w:val="0"/>
        <w:spacing w:line="360" w:lineRule="auto"/>
        <w:rPr>
          <w:rFonts w:ascii="宋体" w:hAnsi="宋体" w:cs="宋体"/>
          <w:szCs w:val="21"/>
        </w:rPr>
      </w:pPr>
    </w:p>
    <w:p w14:paraId="52A3E1A8">
      <w:pPr>
        <w:wordWrap w:val="0"/>
        <w:spacing w:line="360" w:lineRule="auto"/>
        <w:jc w:val="center"/>
        <w:rPr>
          <w:rFonts w:ascii="宋体" w:hAnsi="宋体" w:cs="宋体"/>
          <w:szCs w:val="21"/>
        </w:rPr>
      </w:pPr>
    </w:p>
    <w:p w14:paraId="5D160FFB">
      <w:pPr>
        <w:wordWrap w:val="0"/>
        <w:spacing w:line="360" w:lineRule="auto"/>
        <w:jc w:val="center"/>
        <w:rPr>
          <w:rFonts w:ascii="宋体" w:hAnsi="宋体" w:cs="宋体"/>
          <w:szCs w:val="21"/>
        </w:rPr>
      </w:pPr>
    </w:p>
    <w:p w14:paraId="1B2DAE7F">
      <w:pPr>
        <w:wordWrap w:val="0"/>
        <w:spacing w:line="360" w:lineRule="auto"/>
        <w:jc w:val="center"/>
        <w:rPr>
          <w:rFonts w:ascii="宋体" w:hAnsi="宋体" w:cs="宋体"/>
          <w:b/>
          <w:bCs/>
          <w:szCs w:val="21"/>
        </w:rPr>
      </w:pPr>
      <w:r>
        <w:rPr>
          <w:rFonts w:hint="eastAsia" w:ascii="宋体" w:hAnsi="宋体" w:cs="宋体"/>
          <w:b/>
          <w:bCs/>
          <w:szCs w:val="21"/>
        </w:rPr>
        <w:t>法定代表人授权委托书</w:t>
      </w:r>
    </w:p>
    <w:p w14:paraId="12100EE2">
      <w:pPr>
        <w:wordWrap w:val="0"/>
        <w:spacing w:line="360" w:lineRule="auto"/>
        <w:ind w:firstLine="630" w:firstLineChars="300"/>
        <w:rPr>
          <w:rFonts w:ascii="宋体" w:hAnsi="宋体" w:cs="宋体"/>
          <w:szCs w:val="21"/>
        </w:rPr>
      </w:pPr>
      <w:r>
        <w:rPr>
          <w:rFonts w:hint="eastAsia" w:ascii="宋体" w:hAnsi="宋体" w:cs="宋体"/>
          <w:szCs w:val="21"/>
        </w:rPr>
        <w:t>本人（姓名）</w:t>
      </w:r>
      <w:r>
        <w:rPr>
          <w:rFonts w:hint="eastAsia" w:ascii="宋体" w:hAnsi="宋体" w:cs="宋体"/>
          <w:szCs w:val="21"/>
          <w:u w:val="single"/>
        </w:rPr>
        <w:t xml:space="preserve">             </w:t>
      </w: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（谈判响应人名称）的法定代表人，现委托（姓名）</w:t>
      </w:r>
      <w:r>
        <w:rPr>
          <w:rFonts w:hint="eastAsia" w:ascii="宋体" w:hAnsi="宋体" w:cs="宋体"/>
          <w:szCs w:val="21"/>
          <w:u w:val="single"/>
        </w:rPr>
        <w:t xml:space="preserve">             </w:t>
      </w:r>
      <w:r>
        <w:rPr>
          <w:rFonts w:hint="eastAsia" w:ascii="宋体" w:hAnsi="宋体" w:cs="宋体"/>
          <w:szCs w:val="21"/>
        </w:rPr>
        <w:t>为我方委托代理人。委托代理人根据授权，以我方名义处理</w:t>
      </w:r>
      <w:r>
        <w:rPr>
          <w:rFonts w:hint="eastAsia" w:ascii="宋体" w:hAnsi="宋体" w:cs="宋体"/>
          <w:szCs w:val="21"/>
          <w:u w:val="single"/>
        </w:rPr>
        <w:t xml:space="preserve">             </w:t>
      </w:r>
      <w:r>
        <w:rPr>
          <w:rFonts w:hint="eastAsia" w:ascii="宋体" w:hAnsi="宋体" w:cs="宋体"/>
          <w:szCs w:val="21"/>
        </w:rPr>
        <w:t>（项目名称）的谈判响应一切事宜，其法律后果由我方承担。</w:t>
      </w:r>
    </w:p>
    <w:p w14:paraId="25DB7665">
      <w:pPr>
        <w:wordWrap w:val="0"/>
        <w:spacing w:line="360" w:lineRule="auto"/>
        <w:ind w:firstLine="630" w:firstLineChars="3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w:t>
      </w:r>
      <w:r>
        <w:rPr>
          <w:rFonts w:hint="eastAsia" w:ascii="宋体" w:hAnsi="宋体" w:cs="宋体"/>
          <w:szCs w:val="21"/>
        </w:rPr>
        <w:t xml:space="preserve"> 。</w:t>
      </w:r>
    </w:p>
    <w:p w14:paraId="61024733">
      <w:pPr>
        <w:wordWrap w:val="0"/>
        <w:spacing w:line="360" w:lineRule="auto"/>
        <w:ind w:firstLine="630" w:firstLineChars="300"/>
        <w:rPr>
          <w:rFonts w:ascii="宋体" w:hAnsi="宋体" w:cs="宋体"/>
          <w:szCs w:val="21"/>
        </w:rPr>
      </w:pPr>
      <w:r>
        <w:rPr>
          <w:rFonts w:hint="eastAsia" w:ascii="宋体" w:hAnsi="宋体" w:cs="宋体"/>
          <w:szCs w:val="21"/>
        </w:rPr>
        <w:t>委托代理人无转委托权，特此委托。</w:t>
      </w:r>
    </w:p>
    <w:p w14:paraId="72114582">
      <w:pPr>
        <w:wordWrap w:val="0"/>
        <w:spacing w:line="360" w:lineRule="auto"/>
        <w:ind w:firstLine="630" w:firstLineChars="300"/>
        <w:rPr>
          <w:rFonts w:ascii="宋体" w:hAnsi="宋体" w:cs="宋体"/>
          <w:szCs w:val="21"/>
          <w:u w:val="single"/>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 xml:space="preserve"> 性别 ：</w:t>
      </w:r>
      <w:r>
        <w:rPr>
          <w:rFonts w:hint="eastAsia" w:ascii="宋体" w:hAnsi="宋体" w:cs="宋体"/>
          <w:szCs w:val="21"/>
          <w:u w:val="single"/>
        </w:rPr>
        <w:t xml:space="preserve">             </w:t>
      </w:r>
      <w:r>
        <w:rPr>
          <w:rFonts w:hint="eastAsia" w:ascii="宋体" w:hAnsi="宋体" w:cs="宋体"/>
          <w:szCs w:val="21"/>
        </w:rPr>
        <w:t>年龄：_______</w:t>
      </w:r>
    </w:p>
    <w:p w14:paraId="09F496A0">
      <w:pPr>
        <w:wordWrap w:val="0"/>
        <w:spacing w:line="360" w:lineRule="auto"/>
        <w:ind w:firstLine="630" w:firstLineChars="300"/>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2F345EBF">
      <w:pPr>
        <w:wordWrap w:val="0"/>
        <w:spacing w:line="360" w:lineRule="auto"/>
        <w:ind w:firstLine="630" w:firstLineChars="300"/>
        <w:rPr>
          <w:rFonts w:ascii="宋体" w:hAnsi="宋体" w:cs="宋体"/>
          <w:szCs w:val="21"/>
        </w:rPr>
      </w:pPr>
      <w:r>
        <w:rPr>
          <w:rFonts w:hint="eastAsia" w:ascii="宋体" w:hAnsi="宋体" w:cs="宋体"/>
          <w:szCs w:val="21"/>
        </w:rPr>
        <w:t>谈判响应人：</w:t>
      </w:r>
      <w:r>
        <w:rPr>
          <w:rFonts w:hint="eastAsia" w:ascii="宋体" w:hAnsi="宋体" w:cs="宋体"/>
          <w:szCs w:val="21"/>
          <w:u w:val="single"/>
        </w:rPr>
        <w:t xml:space="preserve">                                        （盖章）</w:t>
      </w:r>
    </w:p>
    <w:p w14:paraId="69388D72">
      <w:pPr>
        <w:wordWrap w:val="0"/>
        <w:spacing w:line="360" w:lineRule="auto"/>
        <w:ind w:firstLine="630" w:firstLineChars="3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（盖章）</w:t>
      </w:r>
    </w:p>
    <w:p w14:paraId="5F863D8A">
      <w:pPr>
        <w:wordWrap w:val="0"/>
        <w:spacing w:line="360" w:lineRule="auto"/>
        <w:ind w:right="480" w:firstLine="630" w:firstLineChars="300"/>
        <w:rPr>
          <w:rFonts w:ascii="宋体" w:hAnsi="宋体" w:cs="宋体"/>
          <w:szCs w:val="21"/>
        </w:rPr>
      </w:pPr>
      <w:r>
        <w:rPr>
          <w:rFonts w:hint="eastAsia" w:ascii="宋体" w:hAnsi="宋体" w:cs="宋体"/>
          <w:szCs w:val="21"/>
        </w:rPr>
        <w:t>授权委托日期：</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60D4895">
      <w:pPr>
        <w:wordWrap w:val="0"/>
        <w:spacing w:line="360" w:lineRule="auto"/>
        <w:ind w:right="480" w:firstLine="630" w:firstLineChars="300"/>
        <w:rPr>
          <w:rFonts w:ascii="宋体" w:hAnsi="宋体" w:cs="宋体"/>
          <w:szCs w:val="21"/>
        </w:rPr>
      </w:pPr>
    </w:p>
    <w:p w14:paraId="15B07ABA">
      <w:pPr>
        <w:wordWrap w:val="0"/>
        <w:spacing w:line="360" w:lineRule="auto"/>
        <w:ind w:right="480" w:firstLine="630" w:firstLineChars="300"/>
        <w:rPr>
          <w:rFonts w:ascii="宋体" w:hAnsi="宋体" w:cs="宋体"/>
          <w:szCs w:val="21"/>
        </w:rPr>
      </w:pPr>
      <w:r>
        <w:rPr>
          <w:rFonts w:hint="eastAsia" w:ascii="宋体" w:hAnsi="宋体" w:cs="宋体"/>
          <w:szCs w:val="21"/>
        </w:rPr>
        <w:t>附：法定代表人及授权代理人的身份证复印件或扫描件</w:t>
      </w:r>
    </w:p>
    <w:p w14:paraId="3A771C90">
      <w:pPr>
        <w:pStyle w:val="2"/>
        <w:rPr>
          <w:rFonts w:hAnsi="宋体" w:cs="宋体"/>
          <w:kern w:val="2"/>
          <w:sz w:val="21"/>
          <w:szCs w:val="21"/>
        </w:rPr>
      </w:pPr>
    </w:p>
    <w:p w14:paraId="1241A29A"/>
    <w:sectPr>
      <w:headerReference r:id="rId4" w:type="default"/>
      <w:footerReference r:id="rId5" w:type="default"/>
      <w:pgSz w:w="11906" w:h="16838"/>
      <w:pgMar w:top="1417" w:right="1418" w:bottom="1417" w:left="1418" w:header="680" w:footer="680"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E2E02">
    <w:pPr>
      <w:pStyle w:val="15"/>
      <w:pBdr>
        <w:top w:val="single" w:color="auto" w:sz="4" w:space="1"/>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C375F5">
                          <w:pPr>
                            <w:pStyle w:val="1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Tpq/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X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2k6av0QEAAKMDAAAOAAAAAAAAAAEAIAAAACIB&#10;AABkcnMvZTJvRG9jLnhtbFBLBQYAAAAABgAGAFkBAABlBQAAAAA=&#10;">
              <v:fill on="f" focussize="0,0"/>
              <v:stroke on="f" weight="1.25pt"/>
              <v:imagedata o:title=""/>
              <o:lock v:ext="edit" aspectratio="f"/>
              <v:textbox inset="0mm,0mm,0mm,0mm" style="mso-fit-shape-to-text:t;">
                <w:txbxContent>
                  <w:p w14:paraId="35C375F5">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233C">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00CEB">
    <w:pPr>
      <w:spacing w:line="360" w:lineRule="auto"/>
      <w:jc w:val="center"/>
      <w:rPr>
        <w:rFonts w:ascii="宋体" w:hAnsi="宋体"/>
        <w:b/>
        <w:bCs/>
        <w:sz w:val="18"/>
        <w:szCs w:val="18"/>
      </w:rPr>
    </w:pPr>
    <w:r>
      <w:rPr>
        <w:rFonts w:hint="eastAsia"/>
        <w:szCs w:val="21"/>
      </w:rPr>
      <w:t xml:space="preserve">                                                     </w:t>
    </w:r>
  </w:p>
  <w:p w14:paraId="3014E0D5">
    <w:pPr>
      <w:spacing w:line="360" w:lineRule="auto"/>
      <w:rPr>
        <w:rFonts w:ascii="宋体" w:hAnsi="宋体"/>
        <w:b/>
        <w:bCs/>
        <w:sz w:val="18"/>
        <w:szCs w:val="18"/>
      </w:rPr>
    </w:pPr>
    <w:r>
      <w:rPr>
        <w:rFonts w:hint="eastAsia" w:ascii="宋体" w:hAnsi="宋体"/>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4CD53"/>
    <w:multiLevelType w:val="singleLevel"/>
    <w:tmpl w:val="9EB4CD53"/>
    <w:lvl w:ilvl="0" w:tentative="0">
      <w:start w:val="1"/>
      <w:numFmt w:val="chineseCounting"/>
      <w:suff w:val="nothing"/>
      <w:lvlText w:val="%1、"/>
      <w:lvlJc w:val="left"/>
      <w:rPr>
        <w:rFonts w:hint="eastAsia"/>
      </w:rPr>
    </w:lvl>
  </w:abstractNum>
  <w:abstractNum w:abstractNumId="1">
    <w:nsid w:val="DAF18F33"/>
    <w:multiLevelType w:val="singleLevel"/>
    <w:tmpl w:val="DAF18F33"/>
    <w:lvl w:ilvl="0" w:tentative="0">
      <w:start w:val="3"/>
      <w:numFmt w:val="chineseCounting"/>
      <w:suff w:val="space"/>
      <w:lvlText w:val="第%1章"/>
      <w:lvlJc w:val="left"/>
      <w:rPr>
        <w:rFonts w:hint="eastAsia"/>
      </w:rPr>
    </w:lvl>
  </w:abstractNum>
  <w:abstractNum w:abstractNumId="2">
    <w:nsid w:val="E20A2C6F"/>
    <w:multiLevelType w:val="singleLevel"/>
    <w:tmpl w:val="E20A2C6F"/>
    <w:lvl w:ilvl="0" w:tentative="0">
      <w:start w:val="5"/>
      <w:numFmt w:val="chineseCounting"/>
      <w:suff w:val="space"/>
      <w:lvlText w:val="第%1章"/>
      <w:lvlJc w:val="left"/>
      <w:rPr>
        <w:rFonts w:hint="eastAsia"/>
      </w:rPr>
    </w:lvl>
  </w:abstractNum>
  <w:abstractNum w:abstractNumId="3">
    <w:nsid w:val="55DBBED0"/>
    <w:multiLevelType w:val="singleLevel"/>
    <w:tmpl w:val="55DBBED0"/>
    <w:lvl w:ilvl="0" w:tentative="0">
      <w:start w:val="1"/>
      <w:numFmt w:val="chineseCounting"/>
      <w:suff w:val="nothing"/>
      <w:lvlText w:val="%1、"/>
      <w:lvlJc w:val="left"/>
    </w:lvl>
  </w:abstractNum>
  <w:abstractNum w:abstractNumId="4">
    <w:nsid w:val="58DE129E"/>
    <w:multiLevelType w:val="singleLevel"/>
    <w:tmpl w:val="58DE129E"/>
    <w:lvl w:ilvl="0" w:tentative="0">
      <w:start w:val="4"/>
      <w:numFmt w:val="chineseCounting"/>
      <w:suff w:val="nothing"/>
      <w:lvlText w:val="%1、"/>
      <w:lvlJc w:val="left"/>
    </w:lvl>
  </w:abstractNum>
  <w:abstractNum w:abstractNumId="5">
    <w:nsid w:val="590BEEFE"/>
    <w:multiLevelType w:val="singleLevel"/>
    <w:tmpl w:val="590BEEFE"/>
    <w:lvl w:ilvl="0" w:tentative="0">
      <w:start w:val="13"/>
      <w:numFmt w:val="decimal"/>
      <w:suff w:val="nothing"/>
      <w:lvlText w:val="%1、"/>
      <w:lvlJc w:val="left"/>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YjEyYTUyMjNlMjMyNGZlZDE4ZDdkYmEwNWNiOTAifQ=="/>
  </w:docVars>
  <w:rsids>
    <w:rsidRoot w:val="00172A27"/>
    <w:rsid w:val="00000A6A"/>
    <w:rsid w:val="00000C17"/>
    <w:rsid w:val="0000107A"/>
    <w:rsid w:val="000011BE"/>
    <w:rsid w:val="000039BF"/>
    <w:rsid w:val="00003C2D"/>
    <w:rsid w:val="000042D3"/>
    <w:rsid w:val="00004949"/>
    <w:rsid w:val="00005133"/>
    <w:rsid w:val="00005466"/>
    <w:rsid w:val="00006A0D"/>
    <w:rsid w:val="00006AF1"/>
    <w:rsid w:val="00007032"/>
    <w:rsid w:val="000073FC"/>
    <w:rsid w:val="00007515"/>
    <w:rsid w:val="00007AA3"/>
    <w:rsid w:val="000126E1"/>
    <w:rsid w:val="000149A1"/>
    <w:rsid w:val="0001587E"/>
    <w:rsid w:val="00015E04"/>
    <w:rsid w:val="00016F43"/>
    <w:rsid w:val="00017071"/>
    <w:rsid w:val="00021D7E"/>
    <w:rsid w:val="00022253"/>
    <w:rsid w:val="00022932"/>
    <w:rsid w:val="00023297"/>
    <w:rsid w:val="00023BBF"/>
    <w:rsid w:val="00023C13"/>
    <w:rsid w:val="00023C3C"/>
    <w:rsid w:val="00025FBC"/>
    <w:rsid w:val="0002603D"/>
    <w:rsid w:val="0002701D"/>
    <w:rsid w:val="0003013D"/>
    <w:rsid w:val="00031964"/>
    <w:rsid w:val="000319DA"/>
    <w:rsid w:val="000319EE"/>
    <w:rsid w:val="000337C8"/>
    <w:rsid w:val="0003444B"/>
    <w:rsid w:val="00034AAF"/>
    <w:rsid w:val="00035299"/>
    <w:rsid w:val="000358D5"/>
    <w:rsid w:val="00035F36"/>
    <w:rsid w:val="0004043A"/>
    <w:rsid w:val="0004104A"/>
    <w:rsid w:val="000417F5"/>
    <w:rsid w:val="000417F8"/>
    <w:rsid w:val="0004231F"/>
    <w:rsid w:val="00045045"/>
    <w:rsid w:val="0004516A"/>
    <w:rsid w:val="000455DA"/>
    <w:rsid w:val="00045DB5"/>
    <w:rsid w:val="00047F3E"/>
    <w:rsid w:val="00050835"/>
    <w:rsid w:val="00050A83"/>
    <w:rsid w:val="000511CB"/>
    <w:rsid w:val="000512EC"/>
    <w:rsid w:val="000518DE"/>
    <w:rsid w:val="00053D7B"/>
    <w:rsid w:val="0005429F"/>
    <w:rsid w:val="00055074"/>
    <w:rsid w:val="000559BC"/>
    <w:rsid w:val="0005704C"/>
    <w:rsid w:val="00060E7B"/>
    <w:rsid w:val="00061608"/>
    <w:rsid w:val="00061D3D"/>
    <w:rsid w:val="00061E14"/>
    <w:rsid w:val="00062251"/>
    <w:rsid w:val="000624B1"/>
    <w:rsid w:val="00063503"/>
    <w:rsid w:val="00063D98"/>
    <w:rsid w:val="00064343"/>
    <w:rsid w:val="00064689"/>
    <w:rsid w:val="000649C8"/>
    <w:rsid w:val="00064D1E"/>
    <w:rsid w:val="00065803"/>
    <w:rsid w:val="000669F8"/>
    <w:rsid w:val="00066BD7"/>
    <w:rsid w:val="00070CBB"/>
    <w:rsid w:val="000727F7"/>
    <w:rsid w:val="00073DC2"/>
    <w:rsid w:val="00074E8A"/>
    <w:rsid w:val="00076BB9"/>
    <w:rsid w:val="000776CC"/>
    <w:rsid w:val="0008079C"/>
    <w:rsid w:val="0008134D"/>
    <w:rsid w:val="00081AFC"/>
    <w:rsid w:val="00082F83"/>
    <w:rsid w:val="00083019"/>
    <w:rsid w:val="00084CDB"/>
    <w:rsid w:val="00084F13"/>
    <w:rsid w:val="000853BB"/>
    <w:rsid w:val="000855F2"/>
    <w:rsid w:val="0008663D"/>
    <w:rsid w:val="000867D9"/>
    <w:rsid w:val="000911C6"/>
    <w:rsid w:val="00091459"/>
    <w:rsid w:val="00091796"/>
    <w:rsid w:val="00091872"/>
    <w:rsid w:val="0009213F"/>
    <w:rsid w:val="000921B8"/>
    <w:rsid w:val="000922D7"/>
    <w:rsid w:val="00092463"/>
    <w:rsid w:val="00092644"/>
    <w:rsid w:val="0009264C"/>
    <w:rsid w:val="00094CE2"/>
    <w:rsid w:val="0009594D"/>
    <w:rsid w:val="000961D5"/>
    <w:rsid w:val="0009665A"/>
    <w:rsid w:val="0009678F"/>
    <w:rsid w:val="000968A3"/>
    <w:rsid w:val="00096958"/>
    <w:rsid w:val="00097945"/>
    <w:rsid w:val="00097DCE"/>
    <w:rsid w:val="000A0289"/>
    <w:rsid w:val="000A0E57"/>
    <w:rsid w:val="000A0F30"/>
    <w:rsid w:val="000A2DBE"/>
    <w:rsid w:val="000A3717"/>
    <w:rsid w:val="000A3A67"/>
    <w:rsid w:val="000A4AB3"/>
    <w:rsid w:val="000A5063"/>
    <w:rsid w:val="000A5517"/>
    <w:rsid w:val="000A5B59"/>
    <w:rsid w:val="000A6279"/>
    <w:rsid w:val="000A64A2"/>
    <w:rsid w:val="000A69D2"/>
    <w:rsid w:val="000A6C9F"/>
    <w:rsid w:val="000A788F"/>
    <w:rsid w:val="000A7B6C"/>
    <w:rsid w:val="000B0CC0"/>
    <w:rsid w:val="000B2118"/>
    <w:rsid w:val="000B2AC2"/>
    <w:rsid w:val="000B34B1"/>
    <w:rsid w:val="000B47EC"/>
    <w:rsid w:val="000B506D"/>
    <w:rsid w:val="000B7BC1"/>
    <w:rsid w:val="000B7D6E"/>
    <w:rsid w:val="000C02B8"/>
    <w:rsid w:val="000C02F8"/>
    <w:rsid w:val="000C0638"/>
    <w:rsid w:val="000C0991"/>
    <w:rsid w:val="000C0E18"/>
    <w:rsid w:val="000C1E8C"/>
    <w:rsid w:val="000C383F"/>
    <w:rsid w:val="000C4010"/>
    <w:rsid w:val="000C4BBE"/>
    <w:rsid w:val="000C6EB4"/>
    <w:rsid w:val="000C7057"/>
    <w:rsid w:val="000C75DF"/>
    <w:rsid w:val="000D1369"/>
    <w:rsid w:val="000D291C"/>
    <w:rsid w:val="000D3B07"/>
    <w:rsid w:val="000D4A10"/>
    <w:rsid w:val="000D51D6"/>
    <w:rsid w:val="000D7CAD"/>
    <w:rsid w:val="000E04AF"/>
    <w:rsid w:val="000E0905"/>
    <w:rsid w:val="000E139D"/>
    <w:rsid w:val="000E1BDD"/>
    <w:rsid w:val="000E4988"/>
    <w:rsid w:val="000E517E"/>
    <w:rsid w:val="000E657B"/>
    <w:rsid w:val="000E6885"/>
    <w:rsid w:val="000E7179"/>
    <w:rsid w:val="000E7913"/>
    <w:rsid w:val="000F1962"/>
    <w:rsid w:val="000F280E"/>
    <w:rsid w:val="000F2E4F"/>
    <w:rsid w:val="000F38FE"/>
    <w:rsid w:val="000F4F6F"/>
    <w:rsid w:val="000F51A9"/>
    <w:rsid w:val="000F5790"/>
    <w:rsid w:val="000F5E01"/>
    <w:rsid w:val="000F6EB4"/>
    <w:rsid w:val="000F72A8"/>
    <w:rsid w:val="0010403A"/>
    <w:rsid w:val="001073FE"/>
    <w:rsid w:val="001076B7"/>
    <w:rsid w:val="00107DF9"/>
    <w:rsid w:val="00111443"/>
    <w:rsid w:val="00111488"/>
    <w:rsid w:val="00111841"/>
    <w:rsid w:val="00111FF7"/>
    <w:rsid w:val="00112063"/>
    <w:rsid w:val="00114CB9"/>
    <w:rsid w:val="001167E5"/>
    <w:rsid w:val="001174A5"/>
    <w:rsid w:val="00117808"/>
    <w:rsid w:val="00117938"/>
    <w:rsid w:val="001179CE"/>
    <w:rsid w:val="00120DED"/>
    <w:rsid w:val="001220D1"/>
    <w:rsid w:val="00122B92"/>
    <w:rsid w:val="00122D8B"/>
    <w:rsid w:val="00122E55"/>
    <w:rsid w:val="00123858"/>
    <w:rsid w:val="001243CD"/>
    <w:rsid w:val="00125299"/>
    <w:rsid w:val="0012736F"/>
    <w:rsid w:val="001277D9"/>
    <w:rsid w:val="001278DE"/>
    <w:rsid w:val="001305FC"/>
    <w:rsid w:val="00130E6F"/>
    <w:rsid w:val="0013246E"/>
    <w:rsid w:val="00132D2A"/>
    <w:rsid w:val="0013382F"/>
    <w:rsid w:val="001356F1"/>
    <w:rsid w:val="0013594E"/>
    <w:rsid w:val="001369BD"/>
    <w:rsid w:val="00136B11"/>
    <w:rsid w:val="00136F8C"/>
    <w:rsid w:val="00140063"/>
    <w:rsid w:val="001406AE"/>
    <w:rsid w:val="00140F4F"/>
    <w:rsid w:val="00141868"/>
    <w:rsid w:val="001439B9"/>
    <w:rsid w:val="00144054"/>
    <w:rsid w:val="001442AB"/>
    <w:rsid w:val="00144C8F"/>
    <w:rsid w:val="00145333"/>
    <w:rsid w:val="00145F07"/>
    <w:rsid w:val="00146BF4"/>
    <w:rsid w:val="00146EFE"/>
    <w:rsid w:val="00146F98"/>
    <w:rsid w:val="00150619"/>
    <w:rsid w:val="00151903"/>
    <w:rsid w:val="00151DD7"/>
    <w:rsid w:val="0015239B"/>
    <w:rsid w:val="001549DF"/>
    <w:rsid w:val="00155B7A"/>
    <w:rsid w:val="0015661A"/>
    <w:rsid w:val="00160DD3"/>
    <w:rsid w:val="001650C9"/>
    <w:rsid w:val="00167D06"/>
    <w:rsid w:val="00171921"/>
    <w:rsid w:val="00172A27"/>
    <w:rsid w:val="00172FCE"/>
    <w:rsid w:val="0017392F"/>
    <w:rsid w:val="00174DB7"/>
    <w:rsid w:val="0017554C"/>
    <w:rsid w:val="0017582B"/>
    <w:rsid w:val="00176D3D"/>
    <w:rsid w:val="00177B22"/>
    <w:rsid w:val="00177CA1"/>
    <w:rsid w:val="00177DF9"/>
    <w:rsid w:val="00180BE2"/>
    <w:rsid w:val="00181AD1"/>
    <w:rsid w:val="00182186"/>
    <w:rsid w:val="00182637"/>
    <w:rsid w:val="0018463C"/>
    <w:rsid w:val="00184E4B"/>
    <w:rsid w:val="00190B4B"/>
    <w:rsid w:val="00190C28"/>
    <w:rsid w:val="001922E2"/>
    <w:rsid w:val="00193311"/>
    <w:rsid w:val="00194AA6"/>
    <w:rsid w:val="00194AE3"/>
    <w:rsid w:val="001951BE"/>
    <w:rsid w:val="0019606E"/>
    <w:rsid w:val="00197C1C"/>
    <w:rsid w:val="001A08BD"/>
    <w:rsid w:val="001A093D"/>
    <w:rsid w:val="001A15FA"/>
    <w:rsid w:val="001A1819"/>
    <w:rsid w:val="001A1B18"/>
    <w:rsid w:val="001A1F8A"/>
    <w:rsid w:val="001A2133"/>
    <w:rsid w:val="001A29CA"/>
    <w:rsid w:val="001A2A7D"/>
    <w:rsid w:val="001A6497"/>
    <w:rsid w:val="001A6823"/>
    <w:rsid w:val="001A7223"/>
    <w:rsid w:val="001A77ED"/>
    <w:rsid w:val="001A7825"/>
    <w:rsid w:val="001A7D51"/>
    <w:rsid w:val="001B04B2"/>
    <w:rsid w:val="001B32F6"/>
    <w:rsid w:val="001B67A1"/>
    <w:rsid w:val="001C0361"/>
    <w:rsid w:val="001C1352"/>
    <w:rsid w:val="001C3C00"/>
    <w:rsid w:val="001C3C5D"/>
    <w:rsid w:val="001C583F"/>
    <w:rsid w:val="001C58D1"/>
    <w:rsid w:val="001C6AE9"/>
    <w:rsid w:val="001D05C7"/>
    <w:rsid w:val="001D0B74"/>
    <w:rsid w:val="001D0E65"/>
    <w:rsid w:val="001D18E8"/>
    <w:rsid w:val="001D1A63"/>
    <w:rsid w:val="001D4553"/>
    <w:rsid w:val="001D4B3E"/>
    <w:rsid w:val="001D4FDA"/>
    <w:rsid w:val="001D65D5"/>
    <w:rsid w:val="001D673B"/>
    <w:rsid w:val="001D6E9C"/>
    <w:rsid w:val="001E1B69"/>
    <w:rsid w:val="001E221F"/>
    <w:rsid w:val="001E2320"/>
    <w:rsid w:val="001E2757"/>
    <w:rsid w:val="001E3BB5"/>
    <w:rsid w:val="001E5D62"/>
    <w:rsid w:val="001E638F"/>
    <w:rsid w:val="001E6D51"/>
    <w:rsid w:val="001E783B"/>
    <w:rsid w:val="001E7C14"/>
    <w:rsid w:val="001E7E18"/>
    <w:rsid w:val="001E7E1E"/>
    <w:rsid w:val="001F00EE"/>
    <w:rsid w:val="001F05E7"/>
    <w:rsid w:val="001F1CF5"/>
    <w:rsid w:val="001F1F69"/>
    <w:rsid w:val="001F2E32"/>
    <w:rsid w:val="001F59C8"/>
    <w:rsid w:val="001F5A3C"/>
    <w:rsid w:val="001F5D6A"/>
    <w:rsid w:val="00200675"/>
    <w:rsid w:val="00201908"/>
    <w:rsid w:val="00201B80"/>
    <w:rsid w:val="0020331E"/>
    <w:rsid w:val="002033F7"/>
    <w:rsid w:val="00204105"/>
    <w:rsid w:val="002042AE"/>
    <w:rsid w:val="002046D4"/>
    <w:rsid w:val="00204C8D"/>
    <w:rsid w:val="00205937"/>
    <w:rsid w:val="00205E17"/>
    <w:rsid w:val="00206B65"/>
    <w:rsid w:val="00207FED"/>
    <w:rsid w:val="002114E2"/>
    <w:rsid w:val="00211B1D"/>
    <w:rsid w:val="002125D8"/>
    <w:rsid w:val="00212CF6"/>
    <w:rsid w:val="00213AF2"/>
    <w:rsid w:val="0021414F"/>
    <w:rsid w:val="00214600"/>
    <w:rsid w:val="00214AEF"/>
    <w:rsid w:val="00214CF3"/>
    <w:rsid w:val="002159F0"/>
    <w:rsid w:val="002163E0"/>
    <w:rsid w:val="00216845"/>
    <w:rsid w:val="00217292"/>
    <w:rsid w:val="002173FD"/>
    <w:rsid w:val="0022151F"/>
    <w:rsid w:val="00230744"/>
    <w:rsid w:val="00231320"/>
    <w:rsid w:val="0023188C"/>
    <w:rsid w:val="00231B07"/>
    <w:rsid w:val="002326D3"/>
    <w:rsid w:val="00233012"/>
    <w:rsid w:val="0023410B"/>
    <w:rsid w:val="002345F1"/>
    <w:rsid w:val="00235BC7"/>
    <w:rsid w:val="00237F01"/>
    <w:rsid w:val="002425BE"/>
    <w:rsid w:val="002440C0"/>
    <w:rsid w:val="00244DB8"/>
    <w:rsid w:val="002459A4"/>
    <w:rsid w:val="00247C71"/>
    <w:rsid w:val="00247CEA"/>
    <w:rsid w:val="0025135B"/>
    <w:rsid w:val="002539BB"/>
    <w:rsid w:val="002554AD"/>
    <w:rsid w:val="00255576"/>
    <w:rsid w:val="00255598"/>
    <w:rsid w:val="00255C1E"/>
    <w:rsid w:val="0025625B"/>
    <w:rsid w:val="00256A21"/>
    <w:rsid w:val="00257A30"/>
    <w:rsid w:val="002604D5"/>
    <w:rsid w:val="0026090C"/>
    <w:rsid w:val="00260D0E"/>
    <w:rsid w:val="002613B1"/>
    <w:rsid w:val="00261E08"/>
    <w:rsid w:val="00265EB2"/>
    <w:rsid w:val="0026687E"/>
    <w:rsid w:val="00266DCC"/>
    <w:rsid w:val="00270A20"/>
    <w:rsid w:val="00270AC3"/>
    <w:rsid w:val="00271174"/>
    <w:rsid w:val="0027263E"/>
    <w:rsid w:val="00272B6E"/>
    <w:rsid w:val="00275943"/>
    <w:rsid w:val="00276566"/>
    <w:rsid w:val="002766F3"/>
    <w:rsid w:val="00276D8D"/>
    <w:rsid w:val="00280759"/>
    <w:rsid w:val="00280852"/>
    <w:rsid w:val="00282F8A"/>
    <w:rsid w:val="00283554"/>
    <w:rsid w:val="002845ED"/>
    <w:rsid w:val="00284C44"/>
    <w:rsid w:val="00286683"/>
    <w:rsid w:val="00286742"/>
    <w:rsid w:val="002869B5"/>
    <w:rsid w:val="00286CC0"/>
    <w:rsid w:val="00286CDE"/>
    <w:rsid w:val="0029008F"/>
    <w:rsid w:val="0029062C"/>
    <w:rsid w:val="00292182"/>
    <w:rsid w:val="00292189"/>
    <w:rsid w:val="00294433"/>
    <w:rsid w:val="00296882"/>
    <w:rsid w:val="002968A8"/>
    <w:rsid w:val="00296973"/>
    <w:rsid w:val="002A080F"/>
    <w:rsid w:val="002A1B49"/>
    <w:rsid w:val="002A3645"/>
    <w:rsid w:val="002A369D"/>
    <w:rsid w:val="002A4102"/>
    <w:rsid w:val="002A575B"/>
    <w:rsid w:val="002A6A11"/>
    <w:rsid w:val="002A7F1D"/>
    <w:rsid w:val="002B11F0"/>
    <w:rsid w:val="002B2BFF"/>
    <w:rsid w:val="002B2C9E"/>
    <w:rsid w:val="002B2E4D"/>
    <w:rsid w:val="002B50D0"/>
    <w:rsid w:val="002B5642"/>
    <w:rsid w:val="002C0A12"/>
    <w:rsid w:val="002C27BA"/>
    <w:rsid w:val="002C28C0"/>
    <w:rsid w:val="002C2D23"/>
    <w:rsid w:val="002C6397"/>
    <w:rsid w:val="002C676E"/>
    <w:rsid w:val="002C6C59"/>
    <w:rsid w:val="002C7626"/>
    <w:rsid w:val="002C7962"/>
    <w:rsid w:val="002C7AD8"/>
    <w:rsid w:val="002D02F2"/>
    <w:rsid w:val="002D0B16"/>
    <w:rsid w:val="002D1D09"/>
    <w:rsid w:val="002D2367"/>
    <w:rsid w:val="002D418A"/>
    <w:rsid w:val="002D514B"/>
    <w:rsid w:val="002D65D7"/>
    <w:rsid w:val="002D72D5"/>
    <w:rsid w:val="002E0B8B"/>
    <w:rsid w:val="002E10BE"/>
    <w:rsid w:val="002E1B58"/>
    <w:rsid w:val="002E25B3"/>
    <w:rsid w:val="002E27C0"/>
    <w:rsid w:val="002E2C59"/>
    <w:rsid w:val="002E3CB8"/>
    <w:rsid w:val="002E3F09"/>
    <w:rsid w:val="002E424C"/>
    <w:rsid w:val="002E52E5"/>
    <w:rsid w:val="002E6622"/>
    <w:rsid w:val="002E715D"/>
    <w:rsid w:val="002E7435"/>
    <w:rsid w:val="002F03A1"/>
    <w:rsid w:val="002F05C8"/>
    <w:rsid w:val="002F15CA"/>
    <w:rsid w:val="002F28F8"/>
    <w:rsid w:val="002F4ABE"/>
    <w:rsid w:val="002F59BB"/>
    <w:rsid w:val="002F6889"/>
    <w:rsid w:val="002F6EA5"/>
    <w:rsid w:val="002F7E6A"/>
    <w:rsid w:val="0030099E"/>
    <w:rsid w:val="00300A0F"/>
    <w:rsid w:val="00300AA1"/>
    <w:rsid w:val="00302892"/>
    <w:rsid w:val="00302E5C"/>
    <w:rsid w:val="0030348E"/>
    <w:rsid w:val="00303845"/>
    <w:rsid w:val="003038BF"/>
    <w:rsid w:val="00304FDC"/>
    <w:rsid w:val="003069C6"/>
    <w:rsid w:val="00307001"/>
    <w:rsid w:val="003073E6"/>
    <w:rsid w:val="003076EE"/>
    <w:rsid w:val="003105F8"/>
    <w:rsid w:val="00312AAD"/>
    <w:rsid w:val="00312BC9"/>
    <w:rsid w:val="00313A96"/>
    <w:rsid w:val="00313D3E"/>
    <w:rsid w:val="00314160"/>
    <w:rsid w:val="003145C8"/>
    <w:rsid w:val="00315C72"/>
    <w:rsid w:val="00316951"/>
    <w:rsid w:val="00316F87"/>
    <w:rsid w:val="003175FC"/>
    <w:rsid w:val="003176F3"/>
    <w:rsid w:val="003178D4"/>
    <w:rsid w:val="00317E42"/>
    <w:rsid w:val="00320D6B"/>
    <w:rsid w:val="00321A54"/>
    <w:rsid w:val="00321F80"/>
    <w:rsid w:val="003229B4"/>
    <w:rsid w:val="00325642"/>
    <w:rsid w:val="00326011"/>
    <w:rsid w:val="003267C0"/>
    <w:rsid w:val="003270C1"/>
    <w:rsid w:val="003272E2"/>
    <w:rsid w:val="00327C33"/>
    <w:rsid w:val="003305C2"/>
    <w:rsid w:val="00330DEE"/>
    <w:rsid w:val="00332823"/>
    <w:rsid w:val="00334A1C"/>
    <w:rsid w:val="00334D04"/>
    <w:rsid w:val="00336A95"/>
    <w:rsid w:val="00336B7E"/>
    <w:rsid w:val="0034005F"/>
    <w:rsid w:val="00340598"/>
    <w:rsid w:val="00340CA3"/>
    <w:rsid w:val="00340FD1"/>
    <w:rsid w:val="00341C40"/>
    <w:rsid w:val="00341EEE"/>
    <w:rsid w:val="0034207C"/>
    <w:rsid w:val="0034236A"/>
    <w:rsid w:val="00342431"/>
    <w:rsid w:val="00342CC5"/>
    <w:rsid w:val="0034330A"/>
    <w:rsid w:val="00343F0C"/>
    <w:rsid w:val="003449F5"/>
    <w:rsid w:val="00344FF1"/>
    <w:rsid w:val="0034561D"/>
    <w:rsid w:val="0034584A"/>
    <w:rsid w:val="00346695"/>
    <w:rsid w:val="003468DA"/>
    <w:rsid w:val="00351EEC"/>
    <w:rsid w:val="003530B9"/>
    <w:rsid w:val="003536F9"/>
    <w:rsid w:val="003579E9"/>
    <w:rsid w:val="00357AB1"/>
    <w:rsid w:val="00357E4A"/>
    <w:rsid w:val="00360A48"/>
    <w:rsid w:val="00360E8B"/>
    <w:rsid w:val="00363941"/>
    <w:rsid w:val="00365242"/>
    <w:rsid w:val="0037074E"/>
    <w:rsid w:val="003716BD"/>
    <w:rsid w:val="0037200A"/>
    <w:rsid w:val="00373768"/>
    <w:rsid w:val="00373E20"/>
    <w:rsid w:val="00374088"/>
    <w:rsid w:val="00374548"/>
    <w:rsid w:val="00374B64"/>
    <w:rsid w:val="00375424"/>
    <w:rsid w:val="003759E3"/>
    <w:rsid w:val="00375EF7"/>
    <w:rsid w:val="0037685F"/>
    <w:rsid w:val="00377217"/>
    <w:rsid w:val="003805B8"/>
    <w:rsid w:val="00380BEC"/>
    <w:rsid w:val="00380E97"/>
    <w:rsid w:val="00381547"/>
    <w:rsid w:val="00381C04"/>
    <w:rsid w:val="0038246D"/>
    <w:rsid w:val="003843B4"/>
    <w:rsid w:val="003847A9"/>
    <w:rsid w:val="0038522C"/>
    <w:rsid w:val="00385457"/>
    <w:rsid w:val="003862EB"/>
    <w:rsid w:val="00386506"/>
    <w:rsid w:val="003912D8"/>
    <w:rsid w:val="003915D6"/>
    <w:rsid w:val="00393E8C"/>
    <w:rsid w:val="0039408B"/>
    <w:rsid w:val="003941D5"/>
    <w:rsid w:val="003945A8"/>
    <w:rsid w:val="003955F0"/>
    <w:rsid w:val="00395EE5"/>
    <w:rsid w:val="003961A6"/>
    <w:rsid w:val="0039711A"/>
    <w:rsid w:val="0039724E"/>
    <w:rsid w:val="003A115D"/>
    <w:rsid w:val="003A1DB6"/>
    <w:rsid w:val="003A2157"/>
    <w:rsid w:val="003A23CD"/>
    <w:rsid w:val="003A2404"/>
    <w:rsid w:val="003A2A7F"/>
    <w:rsid w:val="003A2E04"/>
    <w:rsid w:val="003A3ED5"/>
    <w:rsid w:val="003A3F01"/>
    <w:rsid w:val="003A5005"/>
    <w:rsid w:val="003A5C2F"/>
    <w:rsid w:val="003A5E5B"/>
    <w:rsid w:val="003A6E78"/>
    <w:rsid w:val="003B099F"/>
    <w:rsid w:val="003B1083"/>
    <w:rsid w:val="003B1698"/>
    <w:rsid w:val="003B19DA"/>
    <w:rsid w:val="003B2A11"/>
    <w:rsid w:val="003B3EEB"/>
    <w:rsid w:val="003B4548"/>
    <w:rsid w:val="003B47F2"/>
    <w:rsid w:val="003B487F"/>
    <w:rsid w:val="003B561C"/>
    <w:rsid w:val="003B67A4"/>
    <w:rsid w:val="003C0512"/>
    <w:rsid w:val="003C0A80"/>
    <w:rsid w:val="003C36D7"/>
    <w:rsid w:val="003C409B"/>
    <w:rsid w:val="003C47B2"/>
    <w:rsid w:val="003C48FC"/>
    <w:rsid w:val="003C4A00"/>
    <w:rsid w:val="003C5067"/>
    <w:rsid w:val="003C5C6B"/>
    <w:rsid w:val="003C5F7B"/>
    <w:rsid w:val="003C67C0"/>
    <w:rsid w:val="003C697E"/>
    <w:rsid w:val="003C69AC"/>
    <w:rsid w:val="003C7232"/>
    <w:rsid w:val="003C73A6"/>
    <w:rsid w:val="003C7F3A"/>
    <w:rsid w:val="003D0293"/>
    <w:rsid w:val="003D0FA6"/>
    <w:rsid w:val="003D1DD8"/>
    <w:rsid w:val="003D218C"/>
    <w:rsid w:val="003D2B6E"/>
    <w:rsid w:val="003D325F"/>
    <w:rsid w:val="003D3BEF"/>
    <w:rsid w:val="003D3DB8"/>
    <w:rsid w:val="003D572F"/>
    <w:rsid w:val="003D6CB6"/>
    <w:rsid w:val="003D6CCA"/>
    <w:rsid w:val="003D7269"/>
    <w:rsid w:val="003D758D"/>
    <w:rsid w:val="003D7DEF"/>
    <w:rsid w:val="003E0064"/>
    <w:rsid w:val="003E0718"/>
    <w:rsid w:val="003E25BE"/>
    <w:rsid w:val="003E2AA0"/>
    <w:rsid w:val="003E2FA7"/>
    <w:rsid w:val="003E42E3"/>
    <w:rsid w:val="003E6179"/>
    <w:rsid w:val="003E62ED"/>
    <w:rsid w:val="003E71B7"/>
    <w:rsid w:val="003F006A"/>
    <w:rsid w:val="003F1A87"/>
    <w:rsid w:val="003F393F"/>
    <w:rsid w:val="003F3D8A"/>
    <w:rsid w:val="003F455E"/>
    <w:rsid w:val="003F5214"/>
    <w:rsid w:val="003F585F"/>
    <w:rsid w:val="003F6422"/>
    <w:rsid w:val="00400401"/>
    <w:rsid w:val="0040086F"/>
    <w:rsid w:val="00400CBB"/>
    <w:rsid w:val="00400DAB"/>
    <w:rsid w:val="00402A2D"/>
    <w:rsid w:val="00402E6A"/>
    <w:rsid w:val="00403EAD"/>
    <w:rsid w:val="00404D84"/>
    <w:rsid w:val="004059DF"/>
    <w:rsid w:val="00407A49"/>
    <w:rsid w:val="00407C07"/>
    <w:rsid w:val="00407E6B"/>
    <w:rsid w:val="00407FFC"/>
    <w:rsid w:val="00411907"/>
    <w:rsid w:val="00411D59"/>
    <w:rsid w:val="00412536"/>
    <w:rsid w:val="00412E67"/>
    <w:rsid w:val="00414D20"/>
    <w:rsid w:val="00414F6C"/>
    <w:rsid w:val="00415C9B"/>
    <w:rsid w:val="0041659E"/>
    <w:rsid w:val="00417819"/>
    <w:rsid w:val="00417E44"/>
    <w:rsid w:val="004201E3"/>
    <w:rsid w:val="00424053"/>
    <w:rsid w:val="004252DC"/>
    <w:rsid w:val="004254B5"/>
    <w:rsid w:val="0042571B"/>
    <w:rsid w:val="00425E93"/>
    <w:rsid w:val="00426978"/>
    <w:rsid w:val="00426C42"/>
    <w:rsid w:val="004275A9"/>
    <w:rsid w:val="0042773F"/>
    <w:rsid w:val="004277D1"/>
    <w:rsid w:val="004279C2"/>
    <w:rsid w:val="00430C4F"/>
    <w:rsid w:val="00430DEA"/>
    <w:rsid w:val="00430E81"/>
    <w:rsid w:val="004334A0"/>
    <w:rsid w:val="004335E2"/>
    <w:rsid w:val="00433AA6"/>
    <w:rsid w:val="00433E00"/>
    <w:rsid w:val="00434058"/>
    <w:rsid w:val="00436C49"/>
    <w:rsid w:val="00437C5C"/>
    <w:rsid w:val="00440244"/>
    <w:rsid w:val="00440456"/>
    <w:rsid w:val="00440C28"/>
    <w:rsid w:val="00440ED3"/>
    <w:rsid w:val="00441772"/>
    <w:rsid w:val="00442E0F"/>
    <w:rsid w:val="004430A8"/>
    <w:rsid w:val="00444F11"/>
    <w:rsid w:val="00446422"/>
    <w:rsid w:val="0044728F"/>
    <w:rsid w:val="004525DA"/>
    <w:rsid w:val="00452E10"/>
    <w:rsid w:val="0045369F"/>
    <w:rsid w:val="00454783"/>
    <w:rsid w:val="00455D85"/>
    <w:rsid w:val="004571E9"/>
    <w:rsid w:val="00457437"/>
    <w:rsid w:val="004612AE"/>
    <w:rsid w:val="00462405"/>
    <w:rsid w:val="00462666"/>
    <w:rsid w:val="00462838"/>
    <w:rsid w:val="00462B5A"/>
    <w:rsid w:val="00463218"/>
    <w:rsid w:val="004635A3"/>
    <w:rsid w:val="00463DE1"/>
    <w:rsid w:val="00463E26"/>
    <w:rsid w:val="00464015"/>
    <w:rsid w:val="0046404A"/>
    <w:rsid w:val="004642CF"/>
    <w:rsid w:val="00464AD4"/>
    <w:rsid w:val="00464BB2"/>
    <w:rsid w:val="004655A4"/>
    <w:rsid w:val="00466C75"/>
    <w:rsid w:val="00466F5F"/>
    <w:rsid w:val="004717B9"/>
    <w:rsid w:val="00471DFC"/>
    <w:rsid w:val="0047330F"/>
    <w:rsid w:val="00473846"/>
    <w:rsid w:val="00473B85"/>
    <w:rsid w:val="004754F6"/>
    <w:rsid w:val="00475F53"/>
    <w:rsid w:val="004771E0"/>
    <w:rsid w:val="004776EB"/>
    <w:rsid w:val="00477B6E"/>
    <w:rsid w:val="00482DC6"/>
    <w:rsid w:val="00483014"/>
    <w:rsid w:val="004830AC"/>
    <w:rsid w:val="0048476D"/>
    <w:rsid w:val="004848A8"/>
    <w:rsid w:val="00484CAA"/>
    <w:rsid w:val="00484D2F"/>
    <w:rsid w:val="004850C6"/>
    <w:rsid w:val="00485F30"/>
    <w:rsid w:val="00486F8F"/>
    <w:rsid w:val="004879F6"/>
    <w:rsid w:val="00487C08"/>
    <w:rsid w:val="004902C4"/>
    <w:rsid w:val="00490340"/>
    <w:rsid w:val="004908EE"/>
    <w:rsid w:val="00491957"/>
    <w:rsid w:val="004929B4"/>
    <w:rsid w:val="00493072"/>
    <w:rsid w:val="00493E4E"/>
    <w:rsid w:val="004947C9"/>
    <w:rsid w:val="00494BB8"/>
    <w:rsid w:val="004960B4"/>
    <w:rsid w:val="00496636"/>
    <w:rsid w:val="00496712"/>
    <w:rsid w:val="004A17F3"/>
    <w:rsid w:val="004A3CD1"/>
    <w:rsid w:val="004A4519"/>
    <w:rsid w:val="004A4C87"/>
    <w:rsid w:val="004A53A0"/>
    <w:rsid w:val="004B0202"/>
    <w:rsid w:val="004B1334"/>
    <w:rsid w:val="004B137A"/>
    <w:rsid w:val="004B29ED"/>
    <w:rsid w:val="004B2F53"/>
    <w:rsid w:val="004B4C44"/>
    <w:rsid w:val="004B6646"/>
    <w:rsid w:val="004B7954"/>
    <w:rsid w:val="004B7E43"/>
    <w:rsid w:val="004C0B4B"/>
    <w:rsid w:val="004C1804"/>
    <w:rsid w:val="004C1FAC"/>
    <w:rsid w:val="004C22CE"/>
    <w:rsid w:val="004C2360"/>
    <w:rsid w:val="004C44B6"/>
    <w:rsid w:val="004C7336"/>
    <w:rsid w:val="004C754A"/>
    <w:rsid w:val="004D109E"/>
    <w:rsid w:val="004D1740"/>
    <w:rsid w:val="004D2935"/>
    <w:rsid w:val="004D2E16"/>
    <w:rsid w:val="004D38F9"/>
    <w:rsid w:val="004D51D6"/>
    <w:rsid w:val="004D5B27"/>
    <w:rsid w:val="004D6AF2"/>
    <w:rsid w:val="004D6D03"/>
    <w:rsid w:val="004E177E"/>
    <w:rsid w:val="004E3F70"/>
    <w:rsid w:val="004E48A9"/>
    <w:rsid w:val="004E67F0"/>
    <w:rsid w:val="004E740F"/>
    <w:rsid w:val="004E7707"/>
    <w:rsid w:val="004F0AF1"/>
    <w:rsid w:val="004F0AF5"/>
    <w:rsid w:val="004F1C57"/>
    <w:rsid w:val="004F21AA"/>
    <w:rsid w:val="004F321C"/>
    <w:rsid w:val="004F357E"/>
    <w:rsid w:val="004F391B"/>
    <w:rsid w:val="004F4C6B"/>
    <w:rsid w:val="004F51EA"/>
    <w:rsid w:val="004F555F"/>
    <w:rsid w:val="004F5D55"/>
    <w:rsid w:val="004F5D6D"/>
    <w:rsid w:val="004F617B"/>
    <w:rsid w:val="004F77FD"/>
    <w:rsid w:val="004F7842"/>
    <w:rsid w:val="004F78AA"/>
    <w:rsid w:val="004F7971"/>
    <w:rsid w:val="005009BC"/>
    <w:rsid w:val="0050100C"/>
    <w:rsid w:val="005013D8"/>
    <w:rsid w:val="00501EEE"/>
    <w:rsid w:val="005023F9"/>
    <w:rsid w:val="00502B96"/>
    <w:rsid w:val="00502D82"/>
    <w:rsid w:val="00503EDB"/>
    <w:rsid w:val="00504102"/>
    <w:rsid w:val="0050460A"/>
    <w:rsid w:val="005047B4"/>
    <w:rsid w:val="0051089F"/>
    <w:rsid w:val="00510DE4"/>
    <w:rsid w:val="005150A2"/>
    <w:rsid w:val="00515719"/>
    <w:rsid w:val="005157BF"/>
    <w:rsid w:val="0051711F"/>
    <w:rsid w:val="005204F4"/>
    <w:rsid w:val="0052089E"/>
    <w:rsid w:val="005208E7"/>
    <w:rsid w:val="00520D38"/>
    <w:rsid w:val="00520EBD"/>
    <w:rsid w:val="005213A2"/>
    <w:rsid w:val="0052199A"/>
    <w:rsid w:val="00522F21"/>
    <w:rsid w:val="005310FD"/>
    <w:rsid w:val="00531FB1"/>
    <w:rsid w:val="00532A14"/>
    <w:rsid w:val="00533ABC"/>
    <w:rsid w:val="00534B9F"/>
    <w:rsid w:val="00535F7C"/>
    <w:rsid w:val="0054028E"/>
    <w:rsid w:val="00540574"/>
    <w:rsid w:val="00540A01"/>
    <w:rsid w:val="00540E57"/>
    <w:rsid w:val="005416D2"/>
    <w:rsid w:val="00542EB0"/>
    <w:rsid w:val="00543E12"/>
    <w:rsid w:val="0054573A"/>
    <w:rsid w:val="00545D58"/>
    <w:rsid w:val="00547F73"/>
    <w:rsid w:val="0055013A"/>
    <w:rsid w:val="00550CB9"/>
    <w:rsid w:val="00551694"/>
    <w:rsid w:val="00552BF5"/>
    <w:rsid w:val="00552F4F"/>
    <w:rsid w:val="005530A2"/>
    <w:rsid w:val="005548B0"/>
    <w:rsid w:val="00555612"/>
    <w:rsid w:val="005569C0"/>
    <w:rsid w:val="00556B98"/>
    <w:rsid w:val="00556C47"/>
    <w:rsid w:val="00557B54"/>
    <w:rsid w:val="00557C37"/>
    <w:rsid w:val="00560010"/>
    <w:rsid w:val="0056045A"/>
    <w:rsid w:val="00560A1D"/>
    <w:rsid w:val="00562062"/>
    <w:rsid w:val="00564C60"/>
    <w:rsid w:val="00564C7F"/>
    <w:rsid w:val="005702CF"/>
    <w:rsid w:val="00570C4D"/>
    <w:rsid w:val="00570EB7"/>
    <w:rsid w:val="00571033"/>
    <w:rsid w:val="0057199E"/>
    <w:rsid w:val="00571CCA"/>
    <w:rsid w:val="00571E5B"/>
    <w:rsid w:val="00572FB2"/>
    <w:rsid w:val="00577E85"/>
    <w:rsid w:val="00580FCF"/>
    <w:rsid w:val="00581045"/>
    <w:rsid w:val="005811AC"/>
    <w:rsid w:val="00582B61"/>
    <w:rsid w:val="00583EF3"/>
    <w:rsid w:val="00585029"/>
    <w:rsid w:val="00590276"/>
    <w:rsid w:val="0059245A"/>
    <w:rsid w:val="00592581"/>
    <w:rsid w:val="0059278E"/>
    <w:rsid w:val="00592AEB"/>
    <w:rsid w:val="00592DED"/>
    <w:rsid w:val="00593B13"/>
    <w:rsid w:val="0059427F"/>
    <w:rsid w:val="00594AA9"/>
    <w:rsid w:val="005950D8"/>
    <w:rsid w:val="00595666"/>
    <w:rsid w:val="00596035"/>
    <w:rsid w:val="005961B3"/>
    <w:rsid w:val="00596572"/>
    <w:rsid w:val="005A07E5"/>
    <w:rsid w:val="005A0D86"/>
    <w:rsid w:val="005A1303"/>
    <w:rsid w:val="005A1B00"/>
    <w:rsid w:val="005A2FE1"/>
    <w:rsid w:val="005A43C7"/>
    <w:rsid w:val="005A4461"/>
    <w:rsid w:val="005A4BAC"/>
    <w:rsid w:val="005A6940"/>
    <w:rsid w:val="005A6CB5"/>
    <w:rsid w:val="005A6FB7"/>
    <w:rsid w:val="005A7CD8"/>
    <w:rsid w:val="005B065F"/>
    <w:rsid w:val="005B0DDA"/>
    <w:rsid w:val="005B1193"/>
    <w:rsid w:val="005B1F74"/>
    <w:rsid w:val="005B217C"/>
    <w:rsid w:val="005B3CDE"/>
    <w:rsid w:val="005B3E17"/>
    <w:rsid w:val="005B70E6"/>
    <w:rsid w:val="005C05F6"/>
    <w:rsid w:val="005C0847"/>
    <w:rsid w:val="005C0A40"/>
    <w:rsid w:val="005C0D8E"/>
    <w:rsid w:val="005C29F5"/>
    <w:rsid w:val="005C2C6E"/>
    <w:rsid w:val="005C2E40"/>
    <w:rsid w:val="005C320A"/>
    <w:rsid w:val="005C3220"/>
    <w:rsid w:val="005C49F1"/>
    <w:rsid w:val="005C55F3"/>
    <w:rsid w:val="005C6465"/>
    <w:rsid w:val="005C7231"/>
    <w:rsid w:val="005D0C7C"/>
    <w:rsid w:val="005D4C42"/>
    <w:rsid w:val="005D4CBE"/>
    <w:rsid w:val="005D6DB7"/>
    <w:rsid w:val="005D7CDC"/>
    <w:rsid w:val="005E17E9"/>
    <w:rsid w:val="005E39EB"/>
    <w:rsid w:val="005E3CFF"/>
    <w:rsid w:val="005E3FF1"/>
    <w:rsid w:val="005E4AF7"/>
    <w:rsid w:val="005E4C4D"/>
    <w:rsid w:val="005E5351"/>
    <w:rsid w:val="005E6974"/>
    <w:rsid w:val="005E6BE3"/>
    <w:rsid w:val="005E72FE"/>
    <w:rsid w:val="005E78F7"/>
    <w:rsid w:val="005E7A69"/>
    <w:rsid w:val="005E7EDD"/>
    <w:rsid w:val="005F19DA"/>
    <w:rsid w:val="005F1EE6"/>
    <w:rsid w:val="005F23AC"/>
    <w:rsid w:val="005F2782"/>
    <w:rsid w:val="005F2A35"/>
    <w:rsid w:val="005F3C04"/>
    <w:rsid w:val="005F4DBF"/>
    <w:rsid w:val="005F5893"/>
    <w:rsid w:val="005F6E6B"/>
    <w:rsid w:val="005F73D4"/>
    <w:rsid w:val="00601110"/>
    <w:rsid w:val="0060129B"/>
    <w:rsid w:val="00601438"/>
    <w:rsid w:val="00602156"/>
    <w:rsid w:val="00602572"/>
    <w:rsid w:val="00602AE4"/>
    <w:rsid w:val="00602D48"/>
    <w:rsid w:val="00602F56"/>
    <w:rsid w:val="006034C2"/>
    <w:rsid w:val="00604BD4"/>
    <w:rsid w:val="00607D22"/>
    <w:rsid w:val="006111F9"/>
    <w:rsid w:val="006122C3"/>
    <w:rsid w:val="00615A6A"/>
    <w:rsid w:val="00616647"/>
    <w:rsid w:val="00617DA4"/>
    <w:rsid w:val="00620B6C"/>
    <w:rsid w:val="006224A1"/>
    <w:rsid w:val="006224D2"/>
    <w:rsid w:val="00622C4D"/>
    <w:rsid w:val="00622F0C"/>
    <w:rsid w:val="0062301E"/>
    <w:rsid w:val="006235ED"/>
    <w:rsid w:val="00625136"/>
    <w:rsid w:val="00625881"/>
    <w:rsid w:val="00625D58"/>
    <w:rsid w:val="00630419"/>
    <w:rsid w:val="006305FB"/>
    <w:rsid w:val="00630BFB"/>
    <w:rsid w:val="00630CDE"/>
    <w:rsid w:val="006323AB"/>
    <w:rsid w:val="00633645"/>
    <w:rsid w:val="00634FEC"/>
    <w:rsid w:val="00636352"/>
    <w:rsid w:val="00636A78"/>
    <w:rsid w:val="00636EF9"/>
    <w:rsid w:val="00637858"/>
    <w:rsid w:val="00637DFD"/>
    <w:rsid w:val="00641B1F"/>
    <w:rsid w:val="00641B23"/>
    <w:rsid w:val="00641CA8"/>
    <w:rsid w:val="0064228F"/>
    <w:rsid w:val="00642F00"/>
    <w:rsid w:val="006437A6"/>
    <w:rsid w:val="00643B92"/>
    <w:rsid w:val="00645073"/>
    <w:rsid w:val="00645398"/>
    <w:rsid w:val="00650A19"/>
    <w:rsid w:val="00650CEE"/>
    <w:rsid w:val="00651002"/>
    <w:rsid w:val="00651696"/>
    <w:rsid w:val="006541A1"/>
    <w:rsid w:val="0065461A"/>
    <w:rsid w:val="0065477B"/>
    <w:rsid w:val="00655E5D"/>
    <w:rsid w:val="006614AF"/>
    <w:rsid w:val="006617FB"/>
    <w:rsid w:val="006633DB"/>
    <w:rsid w:val="006634B3"/>
    <w:rsid w:val="006634F3"/>
    <w:rsid w:val="00664042"/>
    <w:rsid w:val="00664628"/>
    <w:rsid w:val="0067172F"/>
    <w:rsid w:val="00671FD6"/>
    <w:rsid w:val="0067270F"/>
    <w:rsid w:val="0067489E"/>
    <w:rsid w:val="006778B6"/>
    <w:rsid w:val="006816DC"/>
    <w:rsid w:val="006822C2"/>
    <w:rsid w:val="00682527"/>
    <w:rsid w:val="00682D4F"/>
    <w:rsid w:val="0068346E"/>
    <w:rsid w:val="00685456"/>
    <w:rsid w:val="00686A8C"/>
    <w:rsid w:val="00687542"/>
    <w:rsid w:val="00687B99"/>
    <w:rsid w:val="0069318A"/>
    <w:rsid w:val="00693A66"/>
    <w:rsid w:val="006950AF"/>
    <w:rsid w:val="00695298"/>
    <w:rsid w:val="006958FB"/>
    <w:rsid w:val="00696FCE"/>
    <w:rsid w:val="0069773A"/>
    <w:rsid w:val="006A09C6"/>
    <w:rsid w:val="006A0C38"/>
    <w:rsid w:val="006A1046"/>
    <w:rsid w:val="006A251F"/>
    <w:rsid w:val="006A2A53"/>
    <w:rsid w:val="006A32F1"/>
    <w:rsid w:val="006A3E0E"/>
    <w:rsid w:val="006A4603"/>
    <w:rsid w:val="006A502D"/>
    <w:rsid w:val="006A51A0"/>
    <w:rsid w:val="006A56B2"/>
    <w:rsid w:val="006A65B6"/>
    <w:rsid w:val="006A7D7C"/>
    <w:rsid w:val="006B0CF4"/>
    <w:rsid w:val="006B0F83"/>
    <w:rsid w:val="006B1143"/>
    <w:rsid w:val="006B1BF5"/>
    <w:rsid w:val="006B20BA"/>
    <w:rsid w:val="006B2969"/>
    <w:rsid w:val="006B2C0A"/>
    <w:rsid w:val="006B2E21"/>
    <w:rsid w:val="006B3EA8"/>
    <w:rsid w:val="006B421F"/>
    <w:rsid w:val="006B424E"/>
    <w:rsid w:val="006B44A6"/>
    <w:rsid w:val="006B4971"/>
    <w:rsid w:val="006B5A51"/>
    <w:rsid w:val="006B5ECA"/>
    <w:rsid w:val="006B5EE0"/>
    <w:rsid w:val="006B5F5F"/>
    <w:rsid w:val="006B6CC1"/>
    <w:rsid w:val="006B6F3B"/>
    <w:rsid w:val="006B7B1B"/>
    <w:rsid w:val="006C4DB8"/>
    <w:rsid w:val="006C4E9D"/>
    <w:rsid w:val="006C52FF"/>
    <w:rsid w:val="006C57B8"/>
    <w:rsid w:val="006C57C1"/>
    <w:rsid w:val="006C5A77"/>
    <w:rsid w:val="006C6BBF"/>
    <w:rsid w:val="006C70B8"/>
    <w:rsid w:val="006C7F3B"/>
    <w:rsid w:val="006D1388"/>
    <w:rsid w:val="006D1598"/>
    <w:rsid w:val="006D1F2C"/>
    <w:rsid w:val="006D2021"/>
    <w:rsid w:val="006D2619"/>
    <w:rsid w:val="006D29E2"/>
    <w:rsid w:val="006D29EF"/>
    <w:rsid w:val="006D2A12"/>
    <w:rsid w:val="006D3270"/>
    <w:rsid w:val="006D3704"/>
    <w:rsid w:val="006D46A5"/>
    <w:rsid w:val="006D5AE3"/>
    <w:rsid w:val="006D5BE5"/>
    <w:rsid w:val="006E131A"/>
    <w:rsid w:val="006E1834"/>
    <w:rsid w:val="006E18F5"/>
    <w:rsid w:val="006E1CDE"/>
    <w:rsid w:val="006E3C35"/>
    <w:rsid w:val="006E615D"/>
    <w:rsid w:val="006E6F15"/>
    <w:rsid w:val="006F02BB"/>
    <w:rsid w:val="006F0341"/>
    <w:rsid w:val="006F066C"/>
    <w:rsid w:val="006F0D44"/>
    <w:rsid w:val="006F10DE"/>
    <w:rsid w:val="006F1F3E"/>
    <w:rsid w:val="006F42F6"/>
    <w:rsid w:val="006F4930"/>
    <w:rsid w:val="006F527B"/>
    <w:rsid w:val="006F52BE"/>
    <w:rsid w:val="006F6236"/>
    <w:rsid w:val="006F7261"/>
    <w:rsid w:val="007004A3"/>
    <w:rsid w:val="007011C9"/>
    <w:rsid w:val="00701230"/>
    <w:rsid w:val="007022D4"/>
    <w:rsid w:val="0070250C"/>
    <w:rsid w:val="00702707"/>
    <w:rsid w:val="00702D56"/>
    <w:rsid w:val="007032AE"/>
    <w:rsid w:val="00703448"/>
    <w:rsid w:val="00703C70"/>
    <w:rsid w:val="00704F31"/>
    <w:rsid w:val="007059EC"/>
    <w:rsid w:val="00705B92"/>
    <w:rsid w:val="00706002"/>
    <w:rsid w:val="00706A0B"/>
    <w:rsid w:val="007079E1"/>
    <w:rsid w:val="0071210F"/>
    <w:rsid w:val="00712A2E"/>
    <w:rsid w:val="00713338"/>
    <w:rsid w:val="007133A5"/>
    <w:rsid w:val="00714041"/>
    <w:rsid w:val="00715747"/>
    <w:rsid w:val="007167DA"/>
    <w:rsid w:val="00716990"/>
    <w:rsid w:val="00716B32"/>
    <w:rsid w:val="00717429"/>
    <w:rsid w:val="00717EE0"/>
    <w:rsid w:val="007202A4"/>
    <w:rsid w:val="00720516"/>
    <w:rsid w:val="00722E6E"/>
    <w:rsid w:val="00723A1B"/>
    <w:rsid w:val="0072634A"/>
    <w:rsid w:val="00726847"/>
    <w:rsid w:val="00726BBF"/>
    <w:rsid w:val="00727B55"/>
    <w:rsid w:val="00727FC5"/>
    <w:rsid w:val="00730A31"/>
    <w:rsid w:val="007315BC"/>
    <w:rsid w:val="00732C48"/>
    <w:rsid w:val="00733D41"/>
    <w:rsid w:val="00734D9F"/>
    <w:rsid w:val="00736D07"/>
    <w:rsid w:val="00737737"/>
    <w:rsid w:val="007378C7"/>
    <w:rsid w:val="007400AD"/>
    <w:rsid w:val="007409EC"/>
    <w:rsid w:val="00740DA4"/>
    <w:rsid w:val="007437E6"/>
    <w:rsid w:val="00743861"/>
    <w:rsid w:val="00743BA2"/>
    <w:rsid w:val="00745278"/>
    <w:rsid w:val="007460E0"/>
    <w:rsid w:val="00747EBF"/>
    <w:rsid w:val="00751178"/>
    <w:rsid w:val="00751D40"/>
    <w:rsid w:val="00753B04"/>
    <w:rsid w:val="00754C10"/>
    <w:rsid w:val="00754FE2"/>
    <w:rsid w:val="00756161"/>
    <w:rsid w:val="0075685F"/>
    <w:rsid w:val="007569D3"/>
    <w:rsid w:val="00756AFF"/>
    <w:rsid w:val="0075772D"/>
    <w:rsid w:val="007600D6"/>
    <w:rsid w:val="007604F0"/>
    <w:rsid w:val="0076052B"/>
    <w:rsid w:val="007606B5"/>
    <w:rsid w:val="007608E9"/>
    <w:rsid w:val="00760BE3"/>
    <w:rsid w:val="00760FA3"/>
    <w:rsid w:val="00762AE6"/>
    <w:rsid w:val="007633AB"/>
    <w:rsid w:val="00763F74"/>
    <w:rsid w:val="007652DF"/>
    <w:rsid w:val="00765F6E"/>
    <w:rsid w:val="00766C87"/>
    <w:rsid w:val="00767347"/>
    <w:rsid w:val="00767FDF"/>
    <w:rsid w:val="0077212B"/>
    <w:rsid w:val="00772207"/>
    <w:rsid w:val="00773097"/>
    <w:rsid w:val="00775755"/>
    <w:rsid w:val="007760C9"/>
    <w:rsid w:val="007801A7"/>
    <w:rsid w:val="0078149C"/>
    <w:rsid w:val="00781A8B"/>
    <w:rsid w:val="00782018"/>
    <w:rsid w:val="00782AEF"/>
    <w:rsid w:val="0078607D"/>
    <w:rsid w:val="00787366"/>
    <w:rsid w:val="00790E08"/>
    <w:rsid w:val="00790F89"/>
    <w:rsid w:val="007918E8"/>
    <w:rsid w:val="00793DB2"/>
    <w:rsid w:val="00796BAD"/>
    <w:rsid w:val="00796E8C"/>
    <w:rsid w:val="00796FEB"/>
    <w:rsid w:val="007A0A71"/>
    <w:rsid w:val="007A0DA8"/>
    <w:rsid w:val="007A1740"/>
    <w:rsid w:val="007A1F5C"/>
    <w:rsid w:val="007A2820"/>
    <w:rsid w:val="007A296E"/>
    <w:rsid w:val="007A34F5"/>
    <w:rsid w:val="007A3B2E"/>
    <w:rsid w:val="007A5AE3"/>
    <w:rsid w:val="007A69A5"/>
    <w:rsid w:val="007A6E6E"/>
    <w:rsid w:val="007A7941"/>
    <w:rsid w:val="007B037C"/>
    <w:rsid w:val="007B19B3"/>
    <w:rsid w:val="007B1B91"/>
    <w:rsid w:val="007B2547"/>
    <w:rsid w:val="007B2913"/>
    <w:rsid w:val="007B2E1A"/>
    <w:rsid w:val="007B4441"/>
    <w:rsid w:val="007B4B2F"/>
    <w:rsid w:val="007B4C1B"/>
    <w:rsid w:val="007B5797"/>
    <w:rsid w:val="007B5D98"/>
    <w:rsid w:val="007B6184"/>
    <w:rsid w:val="007B7441"/>
    <w:rsid w:val="007B7A3C"/>
    <w:rsid w:val="007C01FF"/>
    <w:rsid w:val="007C0351"/>
    <w:rsid w:val="007C0481"/>
    <w:rsid w:val="007C11CC"/>
    <w:rsid w:val="007C18ED"/>
    <w:rsid w:val="007C1AF5"/>
    <w:rsid w:val="007C2DE7"/>
    <w:rsid w:val="007C34DB"/>
    <w:rsid w:val="007C4778"/>
    <w:rsid w:val="007C5256"/>
    <w:rsid w:val="007C6EF9"/>
    <w:rsid w:val="007C7979"/>
    <w:rsid w:val="007C7B2B"/>
    <w:rsid w:val="007D0391"/>
    <w:rsid w:val="007D09FA"/>
    <w:rsid w:val="007D0D7B"/>
    <w:rsid w:val="007D12DC"/>
    <w:rsid w:val="007D2637"/>
    <w:rsid w:val="007D29C4"/>
    <w:rsid w:val="007D2C6F"/>
    <w:rsid w:val="007D2C99"/>
    <w:rsid w:val="007D2E77"/>
    <w:rsid w:val="007D39FC"/>
    <w:rsid w:val="007D3BB5"/>
    <w:rsid w:val="007D4916"/>
    <w:rsid w:val="007D4AFD"/>
    <w:rsid w:val="007D4F72"/>
    <w:rsid w:val="007D7273"/>
    <w:rsid w:val="007D763C"/>
    <w:rsid w:val="007E03DD"/>
    <w:rsid w:val="007E07AF"/>
    <w:rsid w:val="007E16C6"/>
    <w:rsid w:val="007E24DC"/>
    <w:rsid w:val="007E2D91"/>
    <w:rsid w:val="007E5693"/>
    <w:rsid w:val="007E61B8"/>
    <w:rsid w:val="007E6628"/>
    <w:rsid w:val="007E6981"/>
    <w:rsid w:val="007E6DC2"/>
    <w:rsid w:val="007E6F65"/>
    <w:rsid w:val="007E7578"/>
    <w:rsid w:val="007F00BC"/>
    <w:rsid w:val="007F10D9"/>
    <w:rsid w:val="007F1525"/>
    <w:rsid w:val="007F2592"/>
    <w:rsid w:val="007F2926"/>
    <w:rsid w:val="007F2A29"/>
    <w:rsid w:val="007F3BC3"/>
    <w:rsid w:val="007F5E91"/>
    <w:rsid w:val="007F5F26"/>
    <w:rsid w:val="007F63DD"/>
    <w:rsid w:val="007F6A54"/>
    <w:rsid w:val="007F7158"/>
    <w:rsid w:val="007F7602"/>
    <w:rsid w:val="008012BD"/>
    <w:rsid w:val="00801516"/>
    <w:rsid w:val="00801DDA"/>
    <w:rsid w:val="00802162"/>
    <w:rsid w:val="00802B5F"/>
    <w:rsid w:val="00803A19"/>
    <w:rsid w:val="00803B86"/>
    <w:rsid w:val="0080456A"/>
    <w:rsid w:val="008050CA"/>
    <w:rsid w:val="00805492"/>
    <w:rsid w:val="00806600"/>
    <w:rsid w:val="00806A32"/>
    <w:rsid w:val="00807E02"/>
    <w:rsid w:val="00810059"/>
    <w:rsid w:val="00814431"/>
    <w:rsid w:val="0081510C"/>
    <w:rsid w:val="0081602A"/>
    <w:rsid w:val="00816886"/>
    <w:rsid w:val="0081708C"/>
    <w:rsid w:val="008177C6"/>
    <w:rsid w:val="00817A30"/>
    <w:rsid w:val="00817D46"/>
    <w:rsid w:val="00817D5B"/>
    <w:rsid w:val="00817F47"/>
    <w:rsid w:val="0082110D"/>
    <w:rsid w:val="008212E9"/>
    <w:rsid w:val="0082146C"/>
    <w:rsid w:val="00821F2E"/>
    <w:rsid w:val="008233A0"/>
    <w:rsid w:val="0082391C"/>
    <w:rsid w:val="00824CE1"/>
    <w:rsid w:val="008255D7"/>
    <w:rsid w:val="008255DF"/>
    <w:rsid w:val="008260C7"/>
    <w:rsid w:val="00826F2F"/>
    <w:rsid w:val="00827F30"/>
    <w:rsid w:val="00834408"/>
    <w:rsid w:val="008369C6"/>
    <w:rsid w:val="00840E5F"/>
    <w:rsid w:val="00841652"/>
    <w:rsid w:val="008439D6"/>
    <w:rsid w:val="00843BBC"/>
    <w:rsid w:val="00844117"/>
    <w:rsid w:val="00844285"/>
    <w:rsid w:val="008446B2"/>
    <w:rsid w:val="00844EFD"/>
    <w:rsid w:val="00845D19"/>
    <w:rsid w:val="00845FEF"/>
    <w:rsid w:val="00846DBE"/>
    <w:rsid w:val="0085129B"/>
    <w:rsid w:val="008515A5"/>
    <w:rsid w:val="008517F7"/>
    <w:rsid w:val="00852413"/>
    <w:rsid w:val="008543C1"/>
    <w:rsid w:val="00854558"/>
    <w:rsid w:val="00856378"/>
    <w:rsid w:val="008576B4"/>
    <w:rsid w:val="00857FE9"/>
    <w:rsid w:val="0086037F"/>
    <w:rsid w:val="008618B5"/>
    <w:rsid w:val="00862850"/>
    <w:rsid w:val="00863283"/>
    <w:rsid w:val="0086494B"/>
    <w:rsid w:val="008659CD"/>
    <w:rsid w:val="0086627F"/>
    <w:rsid w:val="00866536"/>
    <w:rsid w:val="00870196"/>
    <w:rsid w:val="008702FB"/>
    <w:rsid w:val="008704F4"/>
    <w:rsid w:val="0087073E"/>
    <w:rsid w:val="00871239"/>
    <w:rsid w:val="00872421"/>
    <w:rsid w:val="00872FFC"/>
    <w:rsid w:val="008749D4"/>
    <w:rsid w:val="0087585B"/>
    <w:rsid w:val="0087715B"/>
    <w:rsid w:val="008775E7"/>
    <w:rsid w:val="0087790F"/>
    <w:rsid w:val="00880370"/>
    <w:rsid w:val="00880E47"/>
    <w:rsid w:val="0088213A"/>
    <w:rsid w:val="00882854"/>
    <w:rsid w:val="008833BB"/>
    <w:rsid w:val="00885105"/>
    <w:rsid w:val="008857E6"/>
    <w:rsid w:val="00886B07"/>
    <w:rsid w:val="00886DB8"/>
    <w:rsid w:val="008914AB"/>
    <w:rsid w:val="008927CB"/>
    <w:rsid w:val="00894295"/>
    <w:rsid w:val="00895455"/>
    <w:rsid w:val="008A059E"/>
    <w:rsid w:val="008A06AC"/>
    <w:rsid w:val="008A0F95"/>
    <w:rsid w:val="008A19D3"/>
    <w:rsid w:val="008A2E56"/>
    <w:rsid w:val="008A3F23"/>
    <w:rsid w:val="008A4474"/>
    <w:rsid w:val="008A490B"/>
    <w:rsid w:val="008A5110"/>
    <w:rsid w:val="008B05CE"/>
    <w:rsid w:val="008B0F63"/>
    <w:rsid w:val="008B106E"/>
    <w:rsid w:val="008B1E15"/>
    <w:rsid w:val="008B3235"/>
    <w:rsid w:val="008B36EA"/>
    <w:rsid w:val="008B3A9F"/>
    <w:rsid w:val="008B70DB"/>
    <w:rsid w:val="008C0760"/>
    <w:rsid w:val="008C1595"/>
    <w:rsid w:val="008C1F7E"/>
    <w:rsid w:val="008C313F"/>
    <w:rsid w:val="008C3437"/>
    <w:rsid w:val="008C35E7"/>
    <w:rsid w:val="008C3B98"/>
    <w:rsid w:val="008C3DCB"/>
    <w:rsid w:val="008C41B1"/>
    <w:rsid w:val="008C4CFC"/>
    <w:rsid w:val="008C5053"/>
    <w:rsid w:val="008C515F"/>
    <w:rsid w:val="008C56B1"/>
    <w:rsid w:val="008C5B1A"/>
    <w:rsid w:val="008C5B5E"/>
    <w:rsid w:val="008C5F14"/>
    <w:rsid w:val="008C5F96"/>
    <w:rsid w:val="008D0538"/>
    <w:rsid w:val="008D11A2"/>
    <w:rsid w:val="008D1D66"/>
    <w:rsid w:val="008D22CB"/>
    <w:rsid w:val="008D2C49"/>
    <w:rsid w:val="008D4407"/>
    <w:rsid w:val="008D48E8"/>
    <w:rsid w:val="008D4917"/>
    <w:rsid w:val="008D4BE5"/>
    <w:rsid w:val="008D5A78"/>
    <w:rsid w:val="008D6990"/>
    <w:rsid w:val="008E0FDF"/>
    <w:rsid w:val="008E14B0"/>
    <w:rsid w:val="008E1B5A"/>
    <w:rsid w:val="008E206E"/>
    <w:rsid w:val="008E251F"/>
    <w:rsid w:val="008E26AF"/>
    <w:rsid w:val="008E3A50"/>
    <w:rsid w:val="008E472A"/>
    <w:rsid w:val="008E4E0D"/>
    <w:rsid w:val="008E53B9"/>
    <w:rsid w:val="008E588E"/>
    <w:rsid w:val="008E5AC8"/>
    <w:rsid w:val="008E5F8E"/>
    <w:rsid w:val="008E61E3"/>
    <w:rsid w:val="008F01C7"/>
    <w:rsid w:val="008F05F4"/>
    <w:rsid w:val="008F1866"/>
    <w:rsid w:val="008F32E8"/>
    <w:rsid w:val="008F4316"/>
    <w:rsid w:val="008F5151"/>
    <w:rsid w:val="008F5B79"/>
    <w:rsid w:val="008F5CF7"/>
    <w:rsid w:val="008F644D"/>
    <w:rsid w:val="008F776A"/>
    <w:rsid w:val="0090135C"/>
    <w:rsid w:val="00901526"/>
    <w:rsid w:val="009018FD"/>
    <w:rsid w:val="00902566"/>
    <w:rsid w:val="00902ADF"/>
    <w:rsid w:val="00904AD6"/>
    <w:rsid w:val="00904D03"/>
    <w:rsid w:val="00905AA7"/>
    <w:rsid w:val="0090625F"/>
    <w:rsid w:val="00907CE3"/>
    <w:rsid w:val="00910786"/>
    <w:rsid w:val="00910D82"/>
    <w:rsid w:val="00911581"/>
    <w:rsid w:val="009118A8"/>
    <w:rsid w:val="0091214F"/>
    <w:rsid w:val="0091241D"/>
    <w:rsid w:val="00913AA0"/>
    <w:rsid w:val="00913AFA"/>
    <w:rsid w:val="00913B99"/>
    <w:rsid w:val="00913D54"/>
    <w:rsid w:val="009162EC"/>
    <w:rsid w:val="00916362"/>
    <w:rsid w:val="009170B3"/>
    <w:rsid w:val="00917491"/>
    <w:rsid w:val="00922083"/>
    <w:rsid w:val="00922457"/>
    <w:rsid w:val="0092503F"/>
    <w:rsid w:val="00925855"/>
    <w:rsid w:val="00926A14"/>
    <w:rsid w:val="00926E95"/>
    <w:rsid w:val="009278B5"/>
    <w:rsid w:val="009308F4"/>
    <w:rsid w:val="00931E0E"/>
    <w:rsid w:val="00933881"/>
    <w:rsid w:val="00933EA0"/>
    <w:rsid w:val="009357C9"/>
    <w:rsid w:val="009370C2"/>
    <w:rsid w:val="009372FA"/>
    <w:rsid w:val="009413E6"/>
    <w:rsid w:val="00944A12"/>
    <w:rsid w:val="00945087"/>
    <w:rsid w:val="00945321"/>
    <w:rsid w:val="009456F0"/>
    <w:rsid w:val="00946D72"/>
    <w:rsid w:val="00950986"/>
    <w:rsid w:val="009530F9"/>
    <w:rsid w:val="00953241"/>
    <w:rsid w:val="0095349A"/>
    <w:rsid w:val="009545D0"/>
    <w:rsid w:val="00955736"/>
    <w:rsid w:val="00956293"/>
    <w:rsid w:val="00956BD4"/>
    <w:rsid w:val="00957A79"/>
    <w:rsid w:val="0096030D"/>
    <w:rsid w:val="009604EF"/>
    <w:rsid w:val="009618E5"/>
    <w:rsid w:val="0096206D"/>
    <w:rsid w:val="0096250B"/>
    <w:rsid w:val="00962BFF"/>
    <w:rsid w:val="00963183"/>
    <w:rsid w:val="009633CD"/>
    <w:rsid w:val="00964201"/>
    <w:rsid w:val="00964A89"/>
    <w:rsid w:val="00965C37"/>
    <w:rsid w:val="009664CD"/>
    <w:rsid w:val="009665EB"/>
    <w:rsid w:val="00966DB1"/>
    <w:rsid w:val="00967409"/>
    <w:rsid w:val="00967C8B"/>
    <w:rsid w:val="00970517"/>
    <w:rsid w:val="00970D25"/>
    <w:rsid w:val="00971545"/>
    <w:rsid w:val="009718A8"/>
    <w:rsid w:val="0097198E"/>
    <w:rsid w:val="00971AA5"/>
    <w:rsid w:val="00971C1E"/>
    <w:rsid w:val="00971D0C"/>
    <w:rsid w:val="00971DC4"/>
    <w:rsid w:val="009724DB"/>
    <w:rsid w:val="00972524"/>
    <w:rsid w:val="009732BE"/>
    <w:rsid w:val="00973822"/>
    <w:rsid w:val="00973CCB"/>
    <w:rsid w:val="0097504F"/>
    <w:rsid w:val="00976165"/>
    <w:rsid w:val="00977275"/>
    <w:rsid w:val="0098065E"/>
    <w:rsid w:val="009810CE"/>
    <w:rsid w:val="00981831"/>
    <w:rsid w:val="00981A88"/>
    <w:rsid w:val="00981C12"/>
    <w:rsid w:val="009827C9"/>
    <w:rsid w:val="0098386F"/>
    <w:rsid w:val="009838FF"/>
    <w:rsid w:val="00983D9C"/>
    <w:rsid w:val="00983E27"/>
    <w:rsid w:val="0098533F"/>
    <w:rsid w:val="0098549D"/>
    <w:rsid w:val="00985DAD"/>
    <w:rsid w:val="00990304"/>
    <w:rsid w:val="009913CE"/>
    <w:rsid w:val="00992125"/>
    <w:rsid w:val="0099217C"/>
    <w:rsid w:val="009923E6"/>
    <w:rsid w:val="00992C8D"/>
    <w:rsid w:val="00993972"/>
    <w:rsid w:val="00994797"/>
    <w:rsid w:val="00994AD4"/>
    <w:rsid w:val="009958E9"/>
    <w:rsid w:val="00996432"/>
    <w:rsid w:val="009968AC"/>
    <w:rsid w:val="009970DD"/>
    <w:rsid w:val="00997BC9"/>
    <w:rsid w:val="009A03B1"/>
    <w:rsid w:val="009A0BC7"/>
    <w:rsid w:val="009A1D0B"/>
    <w:rsid w:val="009A2022"/>
    <w:rsid w:val="009A3A07"/>
    <w:rsid w:val="009A3E50"/>
    <w:rsid w:val="009A5653"/>
    <w:rsid w:val="009A62D5"/>
    <w:rsid w:val="009A6D8F"/>
    <w:rsid w:val="009A724D"/>
    <w:rsid w:val="009B0503"/>
    <w:rsid w:val="009B235F"/>
    <w:rsid w:val="009B374A"/>
    <w:rsid w:val="009B5A0D"/>
    <w:rsid w:val="009B5CC3"/>
    <w:rsid w:val="009C0221"/>
    <w:rsid w:val="009C321F"/>
    <w:rsid w:val="009C3C31"/>
    <w:rsid w:val="009C4510"/>
    <w:rsid w:val="009C5140"/>
    <w:rsid w:val="009C57DD"/>
    <w:rsid w:val="009C6361"/>
    <w:rsid w:val="009C688A"/>
    <w:rsid w:val="009C6C18"/>
    <w:rsid w:val="009C76D0"/>
    <w:rsid w:val="009D069F"/>
    <w:rsid w:val="009D0F87"/>
    <w:rsid w:val="009D173C"/>
    <w:rsid w:val="009D2EFB"/>
    <w:rsid w:val="009D33BC"/>
    <w:rsid w:val="009D3523"/>
    <w:rsid w:val="009D4121"/>
    <w:rsid w:val="009D4C76"/>
    <w:rsid w:val="009D520C"/>
    <w:rsid w:val="009D6123"/>
    <w:rsid w:val="009D6C17"/>
    <w:rsid w:val="009D6ECC"/>
    <w:rsid w:val="009D720A"/>
    <w:rsid w:val="009D7BB7"/>
    <w:rsid w:val="009E1524"/>
    <w:rsid w:val="009E15EC"/>
    <w:rsid w:val="009E2017"/>
    <w:rsid w:val="009E20B6"/>
    <w:rsid w:val="009E2133"/>
    <w:rsid w:val="009E41DC"/>
    <w:rsid w:val="009E4A4E"/>
    <w:rsid w:val="009E6D0C"/>
    <w:rsid w:val="009F161E"/>
    <w:rsid w:val="009F2CEE"/>
    <w:rsid w:val="009F303C"/>
    <w:rsid w:val="009F44B9"/>
    <w:rsid w:val="009F6C7D"/>
    <w:rsid w:val="009F6E60"/>
    <w:rsid w:val="00A0225E"/>
    <w:rsid w:val="00A02455"/>
    <w:rsid w:val="00A026DB"/>
    <w:rsid w:val="00A02DB2"/>
    <w:rsid w:val="00A04A32"/>
    <w:rsid w:val="00A04CC2"/>
    <w:rsid w:val="00A04E96"/>
    <w:rsid w:val="00A06B8A"/>
    <w:rsid w:val="00A07192"/>
    <w:rsid w:val="00A0764A"/>
    <w:rsid w:val="00A076EF"/>
    <w:rsid w:val="00A07704"/>
    <w:rsid w:val="00A1196C"/>
    <w:rsid w:val="00A12255"/>
    <w:rsid w:val="00A13350"/>
    <w:rsid w:val="00A13F9B"/>
    <w:rsid w:val="00A144BD"/>
    <w:rsid w:val="00A151E3"/>
    <w:rsid w:val="00A155EE"/>
    <w:rsid w:val="00A16282"/>
    <w:rsid w:val="00A163A7"/>
    <w:rsid w:val="00A16853"/>
    <w:rsid w:val="00A17075"/>
    <w:rsid w:val="00A179A8"/>
    <w:rsid w:val="00A17D9F"/>
    <w:rsid w:val="00A21EE6"/>
    <w:rsid w:val="00A222A2"/>
    <w:rsid w:val="00A23D63"/>
    <w:rsid w:val="00A240F4"/>
    <w:rsid w:val="00A2577A"/>
    <w:rsid w:val="00A26B44"/>
    <w:rsid w:val="00A26DA8"/>
    <w:rsid w:val="00A26F4C"/>
    <w:rsid w:val="00A3095E"/>
    <w:rsid w:val="00A32865"/>
    <w:rsid w:val="00A3601F"/>
    <w:rsid w:val="00A362FF"/>
    <w:rsid w:val="00A363AA"/>
    <w:rsid w:val="00A366F0"/>
    <w:rsid w:val="00A36A4B"/>
    <w:rsid w:val="00A36E02"/>
    <w:rsid w:val="00A37148"/>
    <w:rsid w:val="00A372C0"/>
    <w:rsid w:val="00A374A3"/>
    <w:rsid w:val="00A4085C"/>
    <w:rsid w:val="00A421B2"/>
    <w:rsid w:val="00A423D0"/>
    <w:rsid w:val="00A43D1B"/>
    <w:rsid w:val="00A45963"/>
    <w:rsid w:val="00A47EB2"/>
    <w:rsid w:val="00A51159"/>
    <w:rsid w:val="00A524DF"/>
    <w:rsid w:val="00A53723"/>
    <w:rsid w:val="00A54A17"/>
    <w:rsid w:val="00A55405"/>
    <w:rsid w:val="00A5568C"/>
    <w:rsid w:val="00A5776D"/>
    <w:rsid w:val="00A57852"/>
    <w:rsid w:val="00A602EA"/>
    <w:rsid w:val="00A603B5"/>
    <w:rsid w:val="00A61C0E"/>
    <w:rsid w:val="00A61C0F"/>
    <w:rsid w:val="00A6353F"/>
    <w:rsid w:val="00A6412E"/>
    <w:rsid w:val="00A64825"/>
    <w:rsid w:val="00A655C4"/>
    <w:rsid w:val="00A65A85"/>
    <w:rsid w:val="00A6764E"/>
    <w:rsid w:val="00A67A45"/>
    <w:rsid w:val="00A71996"/>
    <w:rsid w:val="00A71ACC"/>
    <w:rsid w:val="00A73A4D"/>
    <w:rsid w:val="00A741BA"/>
    <w:rsid w:val="00A745AF"/>
    <w:rsid w:val="00A7580A"/>
    <w:rsid w:val="00A818D7"/>
    <w:rsid w:val="00A81A4F"/>
    <w:rsid w:val="00A81BBC"/>
    <w:rsid w:val="00A83BF2"/>
    <w:rsid w:val="00A84CBE"/>
    <w:rsid w:val="00A854D4"/>
    <w:rsid w:val="00A85741"/>
    <w:rsid w:val="00A86F1B"/>
    <w:rsid w:val="00A87506"/>
    <w:rsid w:val="00A87D3F"/>
    <w:rsid w:val="00A91464"/>
    <w:rsid w:val="00A91566"/>
    <w:rsid w:val="00A91E34"/>
    <w:rsid w:val="00A9249F"/>
    <w:rsid w:val="00A9263B"/>
    <w:rsid w:val="00A92D92"/>
    <w:rsid w:val="00A92EB5"/>
    <w:rsid w:val="00A931BC"/>
    <w:rsid w:val="00A94682"/>
    <w:rsid w:val="00A94988"/>
    <w:rsid w:val="00A95932"/>
    <w:rsid w:val="00AA121E"/>
    <w:rsid w:val="00AA1E9F"/>
    <w:rsid w:val="00AA28B1"/>
    <w:rsid w:val="00AA4361"/>
    <w:rsid w:val="00AA46CC"/>
    <w:rsid w:val="00AA4A4B"/>
    <w:rsid w:val="00AA5983"/>
    <w:rsid w:val="00AA5ED2"/>
    <w:rsid w:val="00AA6045"/>
    <w:rsid w:val="00AA698A"/>
    <w:rsid w:val="00AA7868"/>
    <w:rsid w:val="00AA7A83"/>
    <w:rsid w:val="00AB0265"/>
    <w:rsid w:val="00AB0535"/>
    <w:rsid w:val="00AB24EB"/>
    <w:rsid w:val="00AB30C5"/>
    <w:rsid w:val="00AB4F18"/>
    <w:rsid w:val="00AB5469"/>
    <w:rsid w:val="00AB5CE2"/>
    <w:rsid w:val="00AB67A1"/>
    <w:rsid w:val="00AB6B22"/>
    <w:rsid w:val="00AB6E5A"/>
    <w:rsid w:val="00AC0188"/>
    <w:rsid w:val="00AC05D7"/>
    <w:rsid w:val="00AC2FB6"/>
    <w:rsid w:val="00AC35CD"/>
    <w:rsid w:val="00AC3F23"/>
    <w:rsid w:val="00AD1C69"/>
    <w:rsid w:val="00AD1CCE"/>
    <w:rsid w:val="00AD2C9A"/>
    <w:rsid w:val="00AD2ECF"/>
    <w:rsid w:val="00AD4396"/>
    <w:rsid w:val="00AD4BA5"/>
    <w:rsid w:val="00AD4FE5"/>
    <w:rsid w:val="00AD57BA"/>
    <w:rsid w:val="00AD7988"/>
    <w:rsid w:val="00AD7FE9"/>
    <w:rsid w:val="00AE217E"/>
    <w:rsid w:val="00AE3993"/>
    <w:rsid w:val="00AE3E70"/>
    <w:rsid w:val="00AE5884"/>
    <w:rsid w:val="00AE770F"/>
    <w:rsid w:val="00AF0AF0"/>
    <w:rsid w:val="00AF4487"/>
    <w:rsid w:val="00AF46D2"/>
    <w:rsid w:val="00AF4BE9"/>
    <w:rsid w:val="00AF52B5"/>
    <w:rsid w:val="00B022D4"/>
    <w:rsid w:val="00B038C2"/>
    <w:rsid w:val="00B05455"/>
    <w:rsid w:val="00B054B1"/>
    <w:rsid w:val="00B05692"/>
    <w:rsid w:val="00B0692A"/>
    <w:rsid w:val="00B1086A"/>
    <w:rsid w:val="00B10CE4"/>
    <w:rsid w:val="00B11579"/>
    <w:rsid w:val="00B12954"/>
    <w:rsid w:val="00B13584"/>
    <w:rsid w:val="00B1422B"/>
    <w:rsid w:val="00B142DA"/>
    <w:rsid w:val="00B1578B"/>
    <w:rsid w:val="00B172D3"/>
    <w:rsid w:val="00B20DAF"/>
    <w:rsid w:val="00B21350"/>
    <w:rsid w:val="00B22B91"/>
    <w:rsid w:val="00B25673"/>
    <w:rsid w:val="00B25BD7"/>
    <w:rsid w:val="00B26341"/>
    <w:rsid w:val="00B26894"/>
    <w:rsid w:val="00B26B2F"/>
    <w:rsid w:val="00B26C14"/>
    <w:rsid w:val="00B27087"/>
    <w:rsid w:val="00B27F94"/>
    <w:rsid w:val="00B31FB3"/>
    <w:rsid w:val="00B328A2"/>
    <w:rsid w:val="00B338B8"/>
    <w:rsid w:val="00B33F43"/>
    <w:rsid w:val="00B34AA8"/>
    <w:rsid w:val="00B34DB3"/>
    <w:rsid w:val="00B3522C"/>
    <w:rsid w:val="00B36404"/>
    <w:rsid w:val="00B37114"/>
    <w:rsid w:val="00B37F3A"/>
    <w:rsid w:val="00B42124"/>
    <w:rsid w:val="00B43F1C"/>
    <w:rsid w:val="00B44239"/>
    <w:rsid w:val="00B4523B"/>
    <w:rsid w:val="00B45297"/>
    <w:rsid w:val="00B454CD"/>
    <w:rsid w:val="00B45F73"/>
    <w:rsid w:val="00B46BAD"/>
    <w:rsid w:val="00B47355"/>
    <w:rsid w:val="00B47606"/>
    <w:rsid w:val="00B47A28"/>
    <w:rsid w:val="00B50366"/>
    <w:rsid w:val="00B512E9"/>
    <w:rsid w:val="00B514E4"/>
    <w:rsid w:val="00B51561"/>
    <w:rsid w:val="00B51A8E"/>
    <w:rsid w:val="00B51B0F"/>
    <w:rsid w:val="00B52962"/>
    <w:rsid w:val="00B54CC9"/>
    <w:rsid w:val="00B55BC5"/>
    <w:rsid w:val="00B5639C"/>
    <w:rsid w:val="00B564A3"/>
    <w:rsid w:val="00B565B2"/>
    <w:rsid w:val="00B56B89"/>
    <w:rsid w:val="00B57666"/>
    <w:rsid w:val="00B577CD"/>
    <w:rsid w:val="00B60463"/>
    <w:rsid w:val="00B60F15"/>
    <w:rsid w:val="00B6184A"/>
    <w:rsid w:val="00B61923"/>
    <w:rsid w:val="00B63105"/>
    <w:rsid w:val="00B658F8"/>
    <w:rsid w:val="00B65A9C"/>
    <w:rsid w:val="00B65C73"/>
    <w:rsid w:val="00B65D44"/>
    <w:rsid w:val="00B667F2"/>
    <w:rsid w:val="00B66BC1"/>
    <w:rsid w:val="00B66FE4"/>
    <w:rsid w:val="00B71944"/>
    <w:rsid w:val="00B726A1"/>
    <w:rsid w:val="00B73C40"/>
    <w:rsid w:val="00B7409B"/>
    <w:rsid w:val="00B74285"/>
    <w:rsid w:val="00B74637"/>
    <w:rsid w:val="00B74650"/>
    <w:rsid w:val="00B75ADA"/>
    <w:rsid w:val="00B75CD5"/>
    <w:rsid w:val="00B75F44"/>
    <w:rsid w:val="00B76B83"/>
    <w:rsid w:val="00B80D77"/>
    <w:rsid w:val="00B80F9D"/>
    <w:rsid w:val="00B824A4"/>
    <w:rsid w:val="00B84B5E"/>
    <w:rsid w:val="00B84F95"/>
    <w:rsid w:val="00B854C0"/>
    <w:rsid w:val="00B8583F"/>
    <w:rsid w:val="00B86104"/>
    <w:rsid w:val="00B86B27"/>
    <w:rsid w:val="00B87152"/>
    <w:rsid w:val="00B87E6C"/>
    <w:rsid w:val="00B90A7A"/>
    <w:rsid w:val="00B9238D"/>
    <w:rsid w:val="00B92855"/>
    <w:rsid w:val="00B936BF"/>
    <w:rsid w:val="00B93836"/>
    <w:rsid w:val="00B93D48"/>
    <w:rsid w:val="00B944CE"/>
    <w:rsid w:val="00B95CCB"/>
    <w:rsid w:val="00B971FF"/>
    <w:rsid w:val="00B977BA"/>
    <w:rsid w:val="00B97A4B"/>
    <w:rsid w:val="00BA1804"/>
    <w:rsid w:val="00BA27EA"/>
    <w:rsid w:val="00BA38E3"/>
    <w:rsid w:val="00BA4D8A"/>
    <w:rsid w:val="00BA6521"/>
    <w:rsid w:val="00BA77F3"/>
    <w:rsid w:val="00BB1515"/>
    <w:rsid w:val="00BB1970"/>
    <w:rsid w:val="00BB2E79"/>
    <w:rsid w:val="00BB3202"/>
    <w:rsid w:val="00BB3C8E"/>
    <w:rsid w:val="00BB40A0"/>
    <w:rsid w:val="00BB41DC"/>
    <w:rsid w:val="00BB45C7"/>
    <w:rsid w:val="00BB55A3"/>
    <w:rsid w:val="00BB7153"/>
    <w:rsid w:val="00BB7222"/>
    <w:rsid w:val="00BB7E88"/>
    <w:rsid w:val="00BC0472"/>
    <w:rsid w:val="00BC23D3"/>
    <w:rsid w:val="00BC2545"/>
    <w:rsid w:val="00BC27C4"/>
    <w:rsid w:val="00BC375E"/>
    <w:rsid w:val="00BC43CE"/>
    <w:rsid w:val="00BC448F"/>
    <w:rsid w:val="00BC4D6F"/>
    <w:rsid w:val="00BC6BF2"/>
    <w:rsid w:val="00BC720D"/>
    <w:rsid w:val="00BC7D35"/>
    <w:rsid w:val="00BD011A"/>
    <w:rsid w:val="00BD183E"/>
    <w:rsid w:val="00BD26D3"/>
    <w:rsid w:val="00BD2F94"/>
    <w:rsid w:val="00BD3055"/>
    <w:rsid w:val="00BD3488"/>
    <w:rsid w:val="00BD4003"/>
    <w:rsid w:val="00BD46DA"/>
    <w:rsid w:val="00BD4723"/>
    <w:rsid w:val="00BD5589"/>
    <w:rsid w:val="00BD56A1"/>
    <w:rsid w:val="00BD6D39"/>
    <w:rsid w:val="00BD7172"/>
    <w:rsid w:val="00BD734E"/>
    <w:rsid w:val="00BE1D98"/>
    <w:rsid w:val="00BE20B0"/>
    <w:rsid w:val="00BE2547"/>
    <w:rsid w:val="00BE351E"/>
    <w:rsid w:val="00BE4657"/>
    <w:rsid w:val="00BE4732"/>
    <w:rsid w:val="00BE4A89"/>
    <w:rsid w:val="00BE5879"/>
    <w:rsid w:val="00BE6542"/>
    <w:rsid w:val="00BE6A7E"/>
    <w:rsid w:val="00BF06E3"/>
    <w:rsid w:val="00BF0CA2"/>
    <w:rsid w:val="00BF264A"/>
    <w:rsid w:val="00C0056C"/>
    <w:rsid w:val="00C00A05"/>
    <w:rsid w:val="00C0180A"/>
    <w:rsid w:val="00C01F1A"/>
    <w:rsid w:val="00C0293E"/>
    <w:rsid w:val="00C038B4"/>
    <w:rsid w:val="00C03DFD"/>
    <w:rsid w:val="00C04E7D"/>
    <w:rsid w:val="00C0640C"/>
    <w:rsid w:val="00C066E7"/>
    <w:rsid w:val="00C10F63"/>
    <w:rsid w:val="00C1170D"/>
    <w:rsid w:val="00C118E5"/>
    <w:rsid w:val="00C118FA"/>
    <w:rsid w:val="00C13034"/>
    <w:rsid w:val="00C13E9A"/>
    <w:rsid w:val="00C14045"/>
    <w:rsid w:val="00C14B6D"/>
    <w:rsid w:val="00C14F1D"/>
    <w:rsid w:val="00C155FE"/>
    <w:rsid w:val="00C21753"/>
    <w:rsid w:val="00C21BA3"/>
    <w:rsid w:val="00C2206D"/>
    <w:rsid w:val="00C2224E"/>
    <w:rsid w:val="00C2310E"/>
    <w:rsid w:val="00C25455"/>
    <w:rsid w:val="00C2581C"/>
    <w:rsid w:val="00C2641B"/>
    <w:rsid w:val="00C3265D"/>
    <w:rsid w:val="00C341A5"/>
    <w:rsid w:val="00C361D7"/>
    <w:rsid w:val="00C36714"/>
    <w:rsid w:val="00C3761B"/>
    <w:rsid w:val="00C4018F"/>
    <w:rsid w:val="00C40521"/>
    <w:rsid w:val="00C4123E"/>
    <w:rsid w:val="00C413BC"/>
    <w:rsid w:val="00C41536"/>
    <w:rsid w:val="00C42100"/>
    <w:rsid w:val="00C42DB6"/>
    <w:rsid w:val="00C4413F"/>
    <w:rsid w:val="00C44714"/>
    <w:rsid w:val="00C45AFB"/>
    <w:rsid w:val="00C45B23"/>
    <w:rsid w:val="00C51070"/>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B81"/>
    <w:rsid w:val="00C65182"/>
    <w:rsid w:val="00C65468"/>
    <w:rsid w:val="00C65F31"/>
    <w:rsid w:val="00C6715B"/>
    <w:rsid w:val="00C677C9"/>
    <w:rsid w:val="00C713AA"/>
    <w:rsid w:val="00C72532"/>
    <w:rsid w:val="00C7272F"/>
    <w:rsid w:val="00C72ABF"/>
    <w:rsid w:val="00C72D19"/>
    <w:rsid w:val="00C735B7"/>
    <w:rsid w:val="00C75255"/>
    <w:rsid w:val="00C7539B"/>
    <w:rsid w:val="00C762FC"/>
    <w:rsid w:val="00C77708"/>
    <w:rsid w:val="00C8099E"/>
    <w:rsid w:val="00C81093"/>
    <w:rsid w:val="00C822C2"/>
    <w:rsid w:val="00C83744"/>
    <w:rsid w:val="00C84939"/>
    <w:rsid w:val="00C853A2"/>
    <w:rsid w:val="00C85A64"/>
    <w:rsid w:val="00C86094"/>
    <w:rsid w:val="00C862FF"/>
    <w:rsid w:val="00C87328"/>
    <w:rsid w:val="00C87A59"/>
    <w:rsid w:val="00C9038D"/>
    <w:rsid w:val="00C90558"/>
    <w:rsid w:val="00C9074A"/>
    <w:rsid w:val="00C91E01"/>
    <w:rsid w:val="00C91E77"/>
    <w:rsid w:val="00C92D38"/>
    <w:rsid w:val="00C92E96"/>
    <w:rsid w:val="00C93028"/>
    <w:rsid w:val="00C935E4"/>
    <w:rsid w:val="00C9375B"/>
    <w:rsid w:val="00C93A19"/>
    <w:rsid w:val="00C95C56"/>
    <w:rsid w:val="00CA1E64"/>
    <w:rsid w:val="00CA273D"/>
    <w:rsid w:val="00CA325A"/>
    <w:rsid w:val="00CA3453"/>
    <w:rsid w:val="00CA430A"/>
    <w:rsid w:val="00CA4870"/>
    <w:rsid w:val="00CA4AB4"/>
    <w:rsid w:val="00CA4EA1"/>
    <w:rsid w:val="00CA6BE4"/>
    <w:rsid w:val="00CA6EEE"/>
    <w:rsid w:val="00CB06EF"/>
    <w:rsid w:val="00CB08DC"/>
    <w:rsid w:val="00CB114E"/>
    <w:rsid w:val="00CB1B3B"/>
    <w:rsid w:val="00CB1C66"/>
    <w:rsid w:val="00CB2243"/>
    <w:rsid w:val="00CB28C9"/>
    <w:rsid w:val="00CB3631"/>
    <w:rsid w:val="00CB45AC"/>
    <w:rsid w:val="00CB4BC9"/>
    <w:rsid w:val="00CB4D21"/>
    <w:rsid w:val="00CB5311"/>
    <w:rsid w:val="00CB6BAD"/>
    <w:rsid w:val="00CB6E46"/>
    <w:rsid w:val="00CC1191"/>
    <w:rsid w:val="00CC1399"/>
    <w:rsid w:val="00CC1AFF"/>
    <w:rsid w:val="00CC204C"/>
    <w:rsid w:val="00CC2769"/>
    <w:rsid w:val="00CC39A2"/>
    <w:rsid w:val="00CC40C2"/>
    <w:rsid w:val="00CC430D"/>
    <w:rsid w:val="00CC4547"/>
    <w:rsid w:val="00CC5850"/>
    <w:rsid w:val="00CC6EA0"/>
    <w:rsid w:val="00CC77E8"/>
    <w:rsid w:val="00CC7AA2"/>
    <w:rsid w:val="00CD0096"/>
    <w:rsid w:val="00CD192A"/>
    <w:rsid w:val="00CD1FC3"/>
    <w:rsid w:val="00CD2D48"/>
    <w:rsid w:val="00CD394C"/>
    <w:rsid w:val="00CD3E61"/>
    <w:rsid w:val="00CE052A"/>
    <w:rsid w:val="00CE0B7A"/>
    <w:rsid w:val="00CE491D"/>
    <w:rsid w:val="00CE4AD7"/>
    <w:rsid w:val="00CF006C"/>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0192"/>
    <w:rsid w:val="00D107AC"/>
    <w:rsid w:val="00D125F3"/>
    <w:rsid w:val="00D12EFF"/>
    <w:rsid w:val="00D1365C"/>
    <w:rsid w:val="00D13E8A"/>
    <w:rsid w:val="00D14F7D"/>
    <w:rsid w:val="00D17162"/>
    <w:rsid w:val="00D17535"/>
    <w:rsid w:val="00D17B30"/>
    <w:rsid w:val="00D22AC3"/>
    <w:rsid w:val="00D23502"/>
    <w:rsid w:val="00D23ADF"/>
    <w:rsid w:val="00D23B19"/>
    <w:rsid w:val="00D25D5C"/>
    <w:rsid w:val="00D26FE7"/>
    <w:rsid w:val="00D27885"/>
    <w:rsid w:val="00D301B0"/>
    <w:rsid w:val="00D309AB"/>
    <w:rsid w:val="00D31A71"/>
    <w:rsid w:val="00D3352B"/>
    <w:rsid w:val="00D33CB3"/>
    <w:rsid w:val="00D33E89"/>
    <w:rsid w:val="00D3648B"/>
    <w:rsid w:val="00D369E7"/>
    <w:rsid w:val="00D3741E"/>
    <w:rsid w:val="00D4057D"/>
    <w:rsid w:val="00D40759"/>
    <w:rsid w:val="00D43607"/>
    <w:rsid w:val="00D43967"/>
    <w:rsid w:val="00D4429D"/>
    <w:rsid w:val="00D44D0C"/>
    <w:rsid w:val="00D45776"/>
    <w:rsid w:val="00D458F5"/>
    <w:rsid w:val="00D45FF8"/>
    <w:rsid w:val="00D46F5F"/>
    <w:rsid w:val="00D476BE"/>
    <w:rsid w:val="00D51597"/>
    <w:rsid w:val="00D516AA"/>
    <w:rsid w:val="00D518AF"/>
    <w:rsid w:val="00D51AAC"/>
    <w:rsid w:val="00D525E5"/>
    <w:rsid w:val="00D5360F"/>
    <w:rsid w:val="00D53DDF"/>
    <w:rsid w:val="00D5404F"/>
    <w:rsid w:val="00D5465B"/>
    <w:rsid w:val="00D556D7"/>
    <w:rsid w:val="00D56365"/>
    <w:rsid w:val="00D5655E"/>
    <w:rsid w:val="00D56FDB"/>
    <w:rsid w:val="00D610F8"/>
    <w:rsid w:val="00D61319"/>
    <w:rsid w:val="00D6186B"/>
    <w:rsid w:val="00D63214"/>
    <w:rsid w:val="00D6344E"/>
    <w:rsid w:val="00D676F4"/>
    <w:rsid w:val="00D67D1C"/>
    <w:rsid w:val="00D67F82"/>
    <w:rsid w:val="00D71EEB"/>
    <w:rsid w:val="00D733DF"/>
    <w:rsid w:val="00D73BCC"/>
    <w:rsid w:val="00D73DD4"/>
    <w:rsid w:val="00D74F64"/>
    <w:rsid w:val="00D758DB"/>
    <w:rsid w:val="00D76D43"/>
    <w:rsid w:val="00D775E6"/>
    <w:rsid w:val="00D800DD"/>
    <w:rsid w:val="00D8109F"/>
    <w:rsid w:val="00D810B3"/>
    <w:rsid w:val="00D8119D"/>
    <w:rsid w:val="00D814D7"/>
    <w:rsid w:val="00D81A78"/>
    <w:rsid w:val="00D81B91"/>
    <w:rsid w:val="00D8531D"/>
    <w:rsid w:val="00D85595"/>
    <w:rsid w:val="00D86347"/>
    <w:rsid w:val="00D87EF5"/>
    <w:rsid w:val="00D905FB"/>
    <w:rsid w:val="00D90B97"/>
    <w:rsid w:val="00D91D6F"/>
    <w:rsid w:val="00D92BB1"/>
    <w:rsid w:val="00D93D73"/>
    <w:rsid w:val="00D93F02"/>
    <w:rsid w:val="00D94E84"/>
    <w:rsid w:val="00D955E6"/>
    <w:rsid w:val="00D9581A"/>
    <w:rsid w:val="00D96347"/>
    <w:rsid w:val="00D96B16"/>
    <w:rsid w:val="00D96DB6"/>
    <w:rsid w:val="00D972F7"/>
    <w:rsid w:val="00DA0FB9"/>
    <w:rsid w:val="00DA1AC1"/>
    <w:rsid w:val="00DA2205"/>
    <w:rsid w:val="00DA26A7"/>
    <w:rsid w:val="00DA2A11"/>
    <w:rsid w:val="00DA2D48"/>
    <w:rsid w:val="00DA2E4C"/>
    <w:rsid w:val="00DA3290"/>
    <w:rsid w:val="00DA4FCD"/>
    <w:rsid w:val="00DA5236"/>
    <w:rsid w:val="00DA65D0"/>
    <w:rsid w:val="00DA7149"/>
    <w:rsid w:val="00DA750E"/>
    <w:rsid w:val="00DA76C7"/>
    <w:rsid w:val="00DA7945"/>
    <w:rsid w:val="00DB06DF"/>
    <w:rsid w:val="00DB1090"/>
    <w:rsid w:val="00DB17AB"/>
    <w:rsid w:val="00DB36B2"/>
    <w:rsid w:val="00DB37A3"/>
    <w:rsid w:val="00DB38FC"/>
    <w:rsid w:val="00DB3EA8"/>
    <w:rsid w:val="00DB5B47"/>
    <w:rsid w:val="00DB6395"/>
    <w:rsid w:val="00DB654B"/>
    <w:rsid w:val="00DB66FB"/>
    <w:rsid w:val="00DC023B"/>
    <w:rsid w:val="00DC03DF"/>
    <w:rsid w:val="00DC1ABD"/>
    <w:rsid w:val="00DC209A"/>
    <w:rsid w:val="00DC3108"/>
    <w:rsid w:val="00DC3331"/>
    <w:rsid w:val="00DC3BE3"/>
    <w:rsid w:val="00DC76B4"/>
    <w:rsid w:val="00DC7EF4"/>
    <w:rsid w:val="00DD131B"/>
    <w:rsid w:val="00DD2032"/>
    <w:rsid w:val="00DD3628"/>
    <w:rsid w:val="00DD3726"/>
    <w:rsid w:val="00DD6001"/>
    <w:rsid w:val="00DD691D"/>
    <w:rsid w:val="00DD7502"/>
    <w:rsid w:val="00DE03D0"/>
    <w:rsid w:val="00DE13A3"/>
    <w:rsid w:val="00DE1E96"/>
    <w:rsid w:val="00DE22E8"/>
    <w:rsid w:val="00DE2B2B"/>
    <w:rsid w:val="00DE4DBC"/>
    <w:rsid w:val="00DE5495"/>
    <w:rsid w:val="00DE5868"/>
    <w:rsid w:val="00DE5ABF"/>
    <w:rsid w:val="00DE7899"/>
    <w:rsid w:val="00DF1E2C"/>
    <w:rsid w:val="00DF1EF5"/>
    <w:rsid w:val="00DF5E9B"/>
    <w:rsid w:val="00DF6342"/>
    <w:rsid w:val="00DF67E9"/>
    <w:rsid w:val="00DF71B7"/>
    <w:rsid w:val="00DF7467"/>
    <w:rsid w:val="00DF7D6B"/>
    <w:rsid w:val="00E006EF"/>
    <w:rsid w:val="00E00782"/>
    <w:rsid w:val="00E00E23"/>
    <w:rsid w:val="00E017DF"/>
    <w:rsid w:val="00E02CD1"/>
    <w:rsid w:val="00E02F60"/>
    <w:rsid w:val="00E04844"/>
    <w:rsid w:val="00E05A4A"/>
    <w:rsid w:val="00E05B2B"/>
    <w:rsid w:val="00E106FC"/>
    <w:rsid w:val="00E107F4"/>
    <w:rsid w:val="00E110F8"/>
    <w:rsid w:val="00E1212B"/>
    <w:rsid w:val="00E12568"/>
    <w:rsid w:val="00E128C2"/>
    <w:rsid w:val="00E13444"/>
    <w:rsid w:val="00E13FE8"/>
    <w:rsid w:val="00E145F0"/>
    <w:rsid w:val="00E14C86"/>
    <w:rsid w:val="00E15EB7"/>
    <w:rsid w:val="00E164BA"/>
    <w:rsid w:val="00E16FA0"/>
    <w:rsid w:val="00E17889"/>
    <w:rsid w:val="00E230DE"/>
    <w:rsid w:val="00E233CE"/>
    <w:rsid w:val="00E23763"/>
    <w:rsid w:val="00E24DB4"/>
    <w:rsid w:val="00E24E6D"/>
    <w:rsid w:val="00E25863"/>
    <w:rsid w:val="00E25A5A"/>
    <w:rsid w:val="00E2647A"/>
    <w:rsid w:val="00E267E9"/>
    <w:rsid w:val="00E26B8C"/>
    <w:rsid w:val="00E27268"/>
    <w:rsid w:val="00E27D3A"/>
    <w:rsid w:val="00E27E46"/>
    <w:rsid w:val="00E3187B"/>
    <w:rsid w:val="00E31A24"/>
    <w:rsid w:val="00E32114"/>
    <w:rsid w:val="00E323DC"/>
    <w:rsid w:val="00E33578"/>
    <w:rsid w:val="00E335CD"/>
    <w:rsid w:val="00E33788"/>
    <w:rsid w:val="00E344E6"/>
    <w:rsid w:val="00E3470B"/>
    <w:rsid w:val="00E34C8D"/>
    <w:rsid w:val="00E34D5D"/>
    <w:rsid w:val="00E3534E"/>
    <w:rsid w:val="00E35D86"/>
    <w:rsid w:val="00E35E90"/>
    <w:rsid w:val="00E36502"/>
    <w:rsid w:val="00E37EC9"/>
    <w:rsid w:val="00E40D55"/>
    <w:rsid w:val="00E4104E"/>
    <w:rsid w:val="00E41384"/>
    <w:rsid w:val="00E413DF"/>
    <w:rsid w:val="00E45791"/>
    <w:rsid w:val="00E46F1E"/>
    <w:rsid w:val="00E51278"/>
    <w:rsid w:val="00E51AD5"/>
    <w:rsid w:val="00E51ED8"/>
    <w:rsid w:val="00E520D7"/>
    <w:rsid w:val="00E52161"/>
    <w:rsid w:val="00E535DB"/>
    <w:rsid w:val="00E542C7"/>
    <w:rsid w:val="00E55085"/>
    <w:rsid w:val="00E56811"/>
    <w:rsid w:val="00E5722C"/>
    <w:rsid w:val="00E577DD"/>
    <w:rsid w:val="00E609B6"/>
    <w:rsid w:val="00E61B04"/>
    <w:rsid w:val="00E61D42"/>
    <w:rsid w:val="00E62412"/>
    <w:rsid w:val="00E62EC1"/>
    <w:rsid w:val="00E6445D"/>
    <w:rsid w:val="00E651BE"/>
    <w:rsid w:val="00E65F8C"/>
    <w:rsid w:val="00E67B44"/>
    <w:rsid w:val="00E67F96"/>
    <w:rsid w:val="00E70017"/>
    <w:rsid w:val="00E700B6"/>
    <w:rsid w:val="00E70513"/>
    <w:rsid w:val="00E70922"/>
    <w:rsid w:val="00E70B42"/>
    <w:rsid w:val="00E70F47"/>
    <w:rsid w:val="00E71792"/>
    <w:rsid w:val="00E71D0C"/>
    <w:rsid w:val="00E7210A"/>
    <w:rsid w:val="00E7233C"/>
    <w:rsid w:val="00E72532"/>
    <w:rsid w:val="00E73D8A"/>
    <w:rsid w:val="00E74964"/>
    <w:rsid w:val="00E75A99"/>
    <w:rsid w:val="00E76253"/>
    <w:rsid w:val="00E77123"/>
    <w:rsid w:val="00E77146"/>
    <w:rsid w:val="00E80106"/>
    <w:rsid w:val="00E807AE"/>
    <w:rsid w:val="00E80A58"/>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3829"/>
    <w:rsid w:val="00E93D81"/>
    <w:rsid w:val="00E93EF3"/>
    <w:rsid w:val="00E94106"/>
    <w:rsid w:val="00E95BE7"/>
    <w:rsid w:val="00E95F18"/>
    <w:rsid w:val="00E96D16"/>
    <w:rsid w:val="00E97B38"/>
    <w:rsid w:val="00E97BFC"/>
    <w:rsid w:val="00EA12B3"/>
    <w:rsid w:val="00EA2379"/>
    <w:rsid w:val="00EA2D63"/>
    <w:rsid w:val="00EA3280"/>
    <w:rsid w:val="00EA3A6B"/>
    <w:rsid w:val="00EA4962"/>
    <w:rsid w:val="00EA5627"/>
    <w:rsid w:val="00EA599C"/>
    <w:rsid w:val="00EA61A7"/>
    <w:rsid w:val="00EA6426"/>
    <w:rsid w:val="00EA6659"/>
    <w:rsid w:val="00EA6CC3"/>
    <w:rsid w:val="00EA7364"/>
    <w:rsid w:val="00EB0A1D"/>
    <w:rsid w:val="00EB1587"/>
    <w:rsid w:val="00EB2862"/>
    <w:rsid w:val="00EB40F7"/>
    <w:rsid w:val="00EB4C07"/>
    <w:rsid w:val="00EB5548"/>
    <w:rsid w:val="00EB555A"/>
    <w:rsid w:val="00EB70CF"/>
    <w:rsid w:val="00EB7E2A"/>
    <w:rsid w:val="00EC043A"/>
    <w:rsid w:val="00EC0DC3"/>
    <w:rsid w:val="00EC0FC4"/>
    <w:rsid w:val="00EC413A"/>
    <w:rsid w:val="00EC454B"/>
    <w:rsid w:val="00EC4647"/>
    <w:rsid w:val="00EC4AFA"/>
    <w:rsid w:val="00EC542B"/>
    <w:rsid w:val="00EC5A81"/>
    <w:rsid w:val="00EC62CD"/>
    <w:rsid w:val="00EC7812"/>
    <w:rsid w:val="00ED0839"/>
    <w:rsid w:val="00ED0B94"/>
    <w:rsid w:val="00ED0C82"/>
    <w:rsid w:val="00ED1705"/>
    <w:rsid w:val="00ED1F70"/>
    <w:rsid w:val="00ED2BDE"/>
    <w:rsid w:val="00ED2EDC"/>
    <w:rsid w:val="00ED3E55"/>
    <w:rsid w:val="00ED51EE"/>
    <w:rsid w:val="00ED5794"/>
    <w:rsid w:val="00EE0051"/>
    <w:rsid w:val="00EE0440"/>
    <w:rsid w:val="00EE107D"/>
    <w:rsid w:val="00EE148E"/>
    <w:rsid w:val="00EE1B55"/>
    <w:rsid w:val="00EE1D12"/>
    <w:rsid w:val="00EE283E"/>
    <w:rsid w:val="00EE2A4D"/>
    <w:rsid w:val="00EE412E"/>
    <w:rsid w:val="00EE46EE"/>
    <w:rsid w:val="00EE49A3"/>
    <w:rsid w:val="00EE4F0D"/>
    <w:rsid w:val="00EE68E2"/>
    <w:rsid w:val="00EE7BA1"/>
    <w:rsid w:val="00EF07FA"/>
    <w:rsid w:val="00EF1232"/>
    <w:rsid w:val="00EF1ECB"/>
    <w:rsid w:val="00EF2486"/>
    <w:rsid w:val="00EF407F"/>
    <w:rsid w:val="00EF44AF"/>
    <w:rsid w:val="00EF4F48"/>
    <w:rsid w:val="00EF5565"/>
    <w:rsid w:val="00EF5688"/>
    <w:rsid w:val="00EF5EB3"/>
    <w:rsid w:val="00EF6541"/>
    <w:rsid w:val="00EF7DF2"/>
    <w:rsid w:val="00F02114"/>
    <w:rsid w:val="00F05D0F"/>
    <w:rsid w:val="00F05DDD"/>
    <w:rsid w:val="00F061A7"/>
    <w:rsid w:val="00F0668F"/>
    <w:rsid w:val="00F076B1"/>
    <w:rsid w:val="00F077EB"/>
    <w:rsid w:val="00F10A18"/>
    <w:rsid w:val="00F1146F"/>
    <w:rsid w:val="00F12605"/>
    <w:rsid w:val="00F15231"/>
    <w:rsid w:val="00F16658"/>
    <w:rsid w:val="00F16F72"/>
    <w:rsid w:val="00F17B25"/>
    <w:rsid w:val="00F209B9"/>
    <w:rsid w:val="00F221AF"/>
    <w:rsid w:val="00F223FF"/>
    <w:rsid w:val="00F22585"/>
    <w:rsid w:val="00F2277B"/>
    <w:rsid w:val="00F22821"/>
    <w:rsid w:val="00F228A2"/>
    <w:rsid w:val="00F22C00"/>
    <w:rsid w:val="00F22EF0"/>
    <w:rsid w:val="00F24D54"/>
    <w:rsid w:val="00F2593C"/>
    <w:rsid w:val="00F26CC8"/>
    <w:rsid w:val="00F271CF"/>
    <w:rsid w:val="00F27DAB"/>
    <w:rsid w:val="00F303E8"/>
    <w:rsid w:val="00F30F6A"/>
    <w:rsid w:val="00F31D48"/>
    <w:rsid w:val="00F31EE2"/>
    <w:rsid w:val="00F32191"/>
    <w:rsid w:val="00F321C4"/>
    <w:rsid w:val="00F323BA"/>
    <w:rsid w:val="00F345C3"/>
    <w:rsid w:val="00F3555B"/>
    <w:rsid w:val="00F35674"/>
    <w:rsid w:val="00F358E5"/>
    <w:rsid w:val="00F35C9F"/>
    <w:rsid w:val="00F35DC3"/>
    <w:rsid w:val="00F3685D"/>
    <w:rsid w:val="00F40E91"/>
    <w:rsid w:val="00F41641"/>
    <w:rsid w:val="00F41A4A"/>
    <w:rsid w:val="00F43271"/>
    <w:rsid w:val="00F4330A"/>
    <w:rsid w:val="00F44396"/>
    <w:rsid w:val="00F448C3"/>
    <w:rsid w:val="00F44C94"/>
    <w:rsid w:val="00F44D2E"/>
    <w:rsid w:val="00F455EB"/>
    <w:rsid w:val="00F460F9"/>
    <w:rsid w:val="00F474A7"/>
    <w:rsid w:val="00F51CFD"/>
    <w:rsid w:val="00F51D8D"/>
    <w:rsid w:val="00F55580"/>
    <w:rsid w:val="00F56AE8"/>
    <w:rsid w:val="00F61383"/>
    <w:rsid w:val="00F61E09"/>
    <w:rsid w:val="00F61FF8"/>
    <w:rsid w:val="00F6226E"/>
    <w:rsid w:val="00F63116"/>
    <w:rsid w:val="00F632AC"/>
    <w:rsid w:val="00F632C4"/>
    <w:rsid w:val="00F642DE"/>
    <w:rsid w:val="00F67767"/>
    <w:rsid w:val="00F7005D"/>
    <w:rsid w:val="00F71599"/>
    <w:rsid w:val="00F71E84"/>
    <w:rsid w:val="00F72957"/>
    <w:rsid w:val="00F72CF4"/>
    <w:rsid w:val="00F74C30"/>
    <w:rsid w:val="00F77451"/>
    <w:rsid w:val="00F804AA"/>
    <w:rsid w:val="00F80E90"/>
    <w:rsid w:val="00F80ED2"/>
    <w:rsid w:val="00F817B0"/>
    <w:rsid w:val="00F8310A"/>
    <w:rsid w:val="00F8371C"/>
    <w:rsid w:val="00F8382D"/>
    <w:rsid w:val="00F849D4"/>
    <w:rsid w:val="00F857A3"/>
    <w:rsid w:val="00F85FC2"/>
    <w:rsid w:val="00F86BDB"/>
    <w:rsid w:val="00F87667"/>
    <w:rsid w:val="00F87C83"/>
    <w:rsid w:val="00F9059E"/>
    <w:rsid w:val="00F90823"/>
    <w:rsid w:val="00F91633"/>
    <w:rsid w:val="00F917B3"/>
    <w:rsid w:val="00F92539"/>
    <w:rsid w:val="00F949C7"/>
    <w:rsid w:val="00F96443"/>
    <w:rsid w:val="00F96CC9"/>
    <w:rsid w:val="00F97950"/>
    <w:rsid w:val="00FA0332"/>
    <w:rsid w:val="00FA062D"/>
    <w:rsid w:val="00FA1727"/>
    <w:rsid w:val="00FA3259"/>
    <w:rsid w:val="00FA3715"/>
    <w:rsid w:val="00FA39CF"/>
    <w:rsid w:val="00FA5AB1"/>
    <w:rsid w:val="00FA6042"/>
    <w:rsid w:val="00FA636B"/>
    <w:rsid w:val="00FA6D68"/>
    <w:rsid w:val="00FB31FE"/>
    <w:rsid w:val="00FB563A"/>
    <w:rsid w:val="00FB5E6C"/>
    <w:rsid w:val="00FB6374"/>
    <w:rsid w:val="00FB6CB4"/>
    <w:rsid w:val="00FB6D76"/>
    <w:rsid w:val="00FB6FD8"/>
    <w:rsid w:val="00FC1314"/>
    <w:rsid w:val="00FC2B71"/>
    <w:rsid w:val="00FC557F"/>
    <w:rsid w:val="00FC6761"/>
    <w:rsid w:val="00FC6DB7"/>
    <w:rsid w:val="00FC776F"/>
    <w:rsid w:val="00FC7CD8"/>
    <w:rsid w:val="00FD0002"/>
    <w:rsid w:val="00FD1C30"/>
    <w:rsid w:val="00FD250B"/>
    <w:rsid w:val="00FD2F1C"/>
    <w:rsid w:val="00FD39EA"/>
    <w:rsid w:val="00FD7D0B"/>
    <w:rsid w:val="00FE0741"/>
    <w:rsid w:val="00FE0DE7"/>
    <w:rsid w:val="00FE218B"/>
    <w:rsid w:val="00FE3B3A"/>
    <w:rsid w:val="00FE405B"/>
    <w:rsid w:val="00FE529E"/>
    <w:rsid w:val="00FE59A2"/>
    <w:rsid w:val="00FE6D02"/>
    <w:rsid w:val="00FE735B"/>
    <w:rsid w:val="00FE79F7"/>
    <w:rsid w:val="00FF0350"/>
    <w:rsid w:val="00FF12A0"/>
    <w:rsid w:val="00FF1385"/>
    <w:rsid w:val="00FF1732"/>
    <w:rsid w:val="00FF1AD7"/>
    <w:rsid w:val="00FF3E04"/>
    <w:rsid w:val="00FF53E8"/>
    <w:rsid w:val="00FF585B"/>
    <w:rsid w:val="00FF59D7"/>
    <w:rsid w:val="00FF6A5A"/>
    <w:rsid w:val="00FF762C"/>
    <w:rsid w:val="00FF79C6"/>
    <w:rsid w:val="01424DA8"/>
    <w:rsid w:val="018A44B4"/>
    <w:rsid w:val="01922DC9"/>
    <w:rsid w:val="019924DC"/>
    <w:rsid w:val="021A1EAD"/>
    <w:rsid w:val="02316790"/>
    <w:rsid w:val="023E4914"/>
    <w:rsid w:val="02606320"/>
    <w:rsid w:val="02734C55"/>
    <w:rsid w:val="02766B96"/>
    <w:rsid w:val="02E9052A"/>
    <w:rsid w:val="02F10E60"/>
    <w:rsid w:val="03297CC8"/>
    <w:rsid w:val="03387229"/>
    <w:rsid w:val="03443A6F"/>
    <w:rsid w:val="03724537"/>
    <w:rsid w:val="0378192B"/>
    <w:rsid w:val="03851ED2"/>
    <w:rsid w:val="03A96165"/>
    <w:rsid w:val="03F05590"/>
    <w:rsid w:val="03F10BB2"/>
    <w:rsid w:val="03F44933"/>
    <w:rsid w:val="04043AA5"/>
    <w:rsid w:val="041E7ACD"/>
    <w:rsid w:val="04201B8B"/>
    <w:rsid w:val="04382BE0"/>
    <w:rsid w:val="043E7102"/>
    <w:rsid w:val="045E7194"/>
    <w:rsid w:val="0477350E"/>
    <w:rsid w:val="048D42C4"/>
    <w:rsid w:val="04A006E1"/>
    <w:rsid w:val="05100C3A"/>
    <w:rsid w:val="051A65C3"/>
    <w:rsid w:val="0529216F"/>
    <w:rsid w:val="052E1C9F"/>
    <w:rsid w:val="0531200C"/>
    <w:rsid w:val="053E109C"/>
    <w:rsid w:val="054C6411"/>
    <w:rsid w:val="05E002BE"/>
    <w:rsid w:val="05E35B59"/>
    <w:rsid w:val="05F04D9F"/>
    <w:rsid w:val="06481AD4"/>
    <w:rsid w:val="06521913"/>
    <w:rsid w:val="06567772"/>
    <w:rsid w:val="06805122"/>
    <w:rsid w:val="069353D8"/>
    <w:rsid w:val="06952ADA"/>
    <w:rsid w:val="06DF7532"/>
    <w:rsid w:val="06F36A08"/>
    <w:rsid w:val="071B4038"/>
    <w:rsid w:val="07422C6F"/>
    <w:rsid w:val="07655DB3"/>
    <w:rsid w:val="078A0AB7"/>
    <w:rsid w:val="07DA0583"/>
    <w:rsid w:val="0838737A"/>
    <w:rsid w:val="08444D9F"/>
    <w:rsid w:val="088A4392"/>
    <w:rsid w:val="089935B7"/>
    <w:rsid w:val="08AA4743"/>
    <w:rsid w:val="08D12404"/>
    <w:rsid w:val="08DA0D79"/>
    <w:rsid w:val="0927319F"/>
    <w:rsid w:val="092B3141"/>
    <w:rsid w:val="097517AF"/>
    <w:rsid w:val="097A7948"/>
    <w:rsid w:val="098C68F8"/>
    <w:rsid w:val="09AC4724"/>
    <w:rsid w:val="09B87F24"/>
    <w:rsid w:val="09DC000D"/>
    <w:rsid w:val="09F95F96"/>
    <w:rsid w:val="0A0334B3"/>
    <w:rsid w:val="0A3C1CA7"/>
    <w:rsid w:val="0A461924"/>
    <w:rsid w:val="0A901CC5"/>
    <w:rsid w:val="0B072024"/>
    <w:rsid w:val="0B0914F5"/>
    <w:rsid w:val="0B110D86"/>
    <w:rsid w:val="0B2916C2"/>
    <w:rsid w:val="0B91761E"/>
    <w:rsid w:val="0BCA33E7"/>
    <w:rsid w:val="0BE77B0B"/>
    <w:rsid w:val="0C83295D"/>
    <w:rsid w:val="0C89471E"/>
    <w:rsid w:val="0CAE5CFF"/>
    <w:rsid w:val="0CBD7C36"/>
    <w:rsid w:val="0D3E4270"/>
    <w:rsid w:val="0D494161"/>
    <w:rsid w:val="0D4F57E4"/>
    <w:rsid w:val="0D622DEF"/>
    <w:rsid w:val="0D6669BD"/>
    <w:rsid w:val="0DC64678"/>
    <w:rsid w:val="0DCB05AE"/>
    <w:rsid w:val="0DF70178"/>
    <w:rsid w:val="0DF94899"/>
    <w:rsid w:val="0DFA1324"/>
    <w:rsid w:val="0E32410D"/>
    <w:rsid w:val="0E350A7B"/>
    <w:rsid w:val="0EA86D69"/>
    <w:rsid w:val="0EB14180"/>
    <w:rsid w:val="0EBC4E69"/>
    <w:rsid w:val="0EDD408A"/>
    <w:rsid w:val="0EF64818"/>
    <w:rsid w:val="0EFB37A0"/>
    <w:rsid w:val="0F3D389D"/>
    <w:rsid w:val="0F434292"/>
    <w:rsid w:val="0F8236D5"/>
    <w:rsid w:val="0FA65B55"/>
    <w:rsid w:val="0FC55235"/>
    <w:rsid w:val="1009280B"/>
    <w:rsid w:val="100E134E"/>
    <w:rsid w:val="10264018"/>
    <w:rsid w:val="1050087E"/>
    <w:rsid w:val="10B2256F"/>
    <w:rsid w:val="10C17787"/>
    <w:rsid w:val="10C64A93"/>
    <w:rsid w:val="10DC68D5"/>
    <w:rsid w:val="11803EC2"/>
    <w:rsid w:val="11AC730F"/>
    <w:rsid w:val="11BC1C1F"/>
    <w:rsid w:val="11CF1EF1"/>
    <w:rsid w:val="11EA2CE5"/>
    <w:rsid w:val="121A40C0"/>
    <w:rsid w:val="12511643"/>
    <w:rsid w:val="126D2AE8"/>
    <w:rsid w:val="127A106A"/>
    <w:rsid w:val="128C4CAF"/>
    <w:rsid w:val="12994AF8"/>
    <w:rsid w:val="12AE6B32"/>
    <w:rsid w:val="12C43EF0"/>
    <w:rsid w:val="12C4475B"/>
    <w:rsid w:val="12D6647C"/>
    <w:rsid w:val="132B46CB"/>
    <w:rsid w:val="134600CB"/>
    <w:rsid w:val="1347382D"/>
    <w:rsid w:val="135421F8"/>
    <w:rsid w:val="13616BDF"/>
    <w:rsid w:val="13753967"/>
    <w:rsid w:val="13A1080A"/>
    <w:rsid w:val="13CB373B"/>
    <w:rsid w:val="13DF2D80"/>
    <w:rsid w:val="13EB17D3"/>
    <w:rsid w:val="142A4E08"/>
    <w:rsid w:val="146B3973"/>
    <w:rsid w:val="14D8207C"/>
    <w:rsid w:val="14DA386A"/>
    <w:rsid w:val="14E42898"/>
    <w:rsid w:val="14F224D3"/>
    <w:rsid w:val="15073605"/>
    <w:rsid w:val="152A4236"/>
    <w:rsid w:val="15380E52"/>
    <w:rsid w:val="155807CF"/>
    <w:rsid w:val="15786FC5"/>
    <w:rsid w:val="15CC2DFE"/>
    <w:rsid w:val="15FA4347"/>
    <w:rsid w:val="162701DA"/>
    <w:rsid w:val="162B22EC"/>
    <w:rsid w:val="164B23A8"/>
    <w:rsid w:val="164C31F0"/>
    <w:rsid w:val="164D4538"/>
    <w:rsid w:val="168A5C36"/>
    <w:rsid w:val="16AA643D"/>
    <w:rsid w:val="16C16894"/>
    <w:rsid w:val="16E62698"/>
    <w:rsid w:val="170B2AE0"/>
    <w:rsid w:val="170C2076"/>
    <w:rsid w:val="171347E8"/>
    <w:rsid w:val="171F0553"/>
    <w:rsid w:val="171F7F87"/>
    <w:rsid w:val="17656EC7"/>
    <w:rsid w:val="17865E6F"/>
    <w:rsid w:val="178B2FCA"/>
    <w:rsid w:val="17D73777"/>
    <w:rsid w:val="183A16EE"/>
    <w:rsid w:val="18792FB4"/>
    <w:rsid w:val="188859CE"/>
    <w:rsid w:val="189F55F4"/>
    <w:rsid w:val="18F273A6"/>
    <w:rsid w:val="192A68C8"/>
    <w:rsid w:val="196E49C7"/>
    <w:rsid w:val="199F5019"/>
    <w:rsid w:val="19DF13F6"/>
    <w:rsid w:val="1A390864"/>
    <w:rsid w:val="1A6A324A"/>
    <w:rsid w:val="1AC77936"/>
    <w:rsid w:val="1B06535A"/>
    <w:rsid w:val="1B181533"/>
    <w:rsid w:val="1BA7556B"/>
    <w:rsid w:val="1BDE1760"/>
    <w:rsid w:val="1C2551E1"/>
    <w:rsid w:val="1C4B349A"/>
    <w:rsid w:val="1C656F34"/>
    <w:rsid w:val="1C946602"/>
    <w:rsid w:val="1CA232AC"/>
    <w:rsid w:val="1CB01BEC"/>
    <w:rsid w:val="1CCA7376"/>
    <w:rsid w:val="1D0B7287"/>
    <w:rsid w:val="1D0E5817"/>
    <w:rsid w:val="1DA03128"/>
    <w:rsid w:val="1DA05131"/>
    <w:rsid w:val="1DB25B96"/>
    <w:rsid w:val="1DC52A30"/>
    <w:rsid w:val="1DC65517"/>
    <w:rsid w:val="1DD66520"/>
    <w:rsid w:val="1DE870A5"/>
    <w:rsid w:val="1E16127D"/>
    <w:rsid w:val="1E2A33E0"/>
    <w:rsid w:val="1E465BA2"/>
    <w:rsid w:val="1E4C7005"/>
    <w:rsid w:val="1E5E47E0"/>
    <w:rsid w:val="1E65548D"/>
    <w:rsid w:val="1E6A5CCC"/>
    <w:rsid w:val="1E84689A"/>
    <w:rsid w:val="1F1555E0"/>
    <w:rsid w:val="1F5472F6"/>
    <w:rsid w:val="1F663A3C"/>
    <w:rsid w:val="1F6E7EA0"/>
    <w:rsid w:val="1F805BBC"/>
    <w:rsid w:val="1FE73C5F"/>
    <w:rsid w:val="1FF877BF"/>
    <w:rsid w:val="20197BA7"/>
    <w:rsid w:val="202915A2"/>
    <w:rsid w:val="2038536A"/>
    <w:rsid w:val="204539A1"/>
    <w:rsid w:val="207019F5"/>
    <w:rsid w:val="20DD7A52"/>
    <w:rsid w:val="21087874"/>
    <w:rsid w:val="21244B64"/>
    <w:rsid w:val="21346507"/>
    <w:rsid w:val="21435719"/>
    <w:rsid w:val="21457AA6"/>
    <w:rsid w:val="2184057F"/>
    <w:rsid w:val="219C4AB4"/>
    <w:rsid w:val="219D57D6"/>
    <w:rsid w:val="21B76AE0"/>
    <w:rsid w:val="223C008F"/>
    <w:rsid w:val="22472B4C"/>
    <w:rsid w:val="22643497"/>
    <w:rsid w:val="22793034"/>
    <w:rsid w:val="22794F14"/>
    <w:rsid w:val="227F77DE"/>
    <w:rsid w:val="229442B5"/>
    <w:rsid w:val="22C67959"/>
    <w:rsid w:val="22FB0688"/>
    <w:rsid w:val="231C0C23"/>
    <w:rsid w:val="232063A6"/>
    <w:rsid w:val="23635693"/>
    <w:rsid w:val="239F4B3B"/>
    <w:rsid w:val="23B76FD3"/>
    <w:rsid w:val="23C44AC9"/>
    <w:rsid w:val="23ED7ADD"/>
    <w:rsid w:val="240C6AFA"/>
    <w:rsid w:val="2448342E"/>
    <w:rsid w:val="245C48D7"/>
    <w:rsid w:val="246E108F"/>
    <w:rsid w:val="24A249FE"/>
    <w:rsid w:val="25066EF6"/>
    <w:rsid w:val="2518296A"/>
    <w:rsid w:val="255C3F54"/>
    <w:rsid w:val="257A13A0"/>
    <w:rsid w:val="26066D6F"/>
    <w:rsid w:val="26235A5B"/>
    <w:rsid w:val="262E24B2"/>
    <w:rsid w:val="26815613"/>
    <w:rsid w:val="268B284C"/>
    <w:rsid w:val="26A05114"/>
    <w:rsid w:val="26A26BEE"/>
    <w:rsid w:val="26C7367F"/>
    <w:rsid w:val="26CD70F0"/>
    <w:rsid w:val="26FE1742"/>
    <w:rsid w:val="26FF1B22"/>
    <w:rsid w:val="2701248A"/>
    <w:rsid w:val="27015D0E"/>
    <w:rsid w:val="27126252"/>
    <w:rsid w:val="27236244"/>
    <w:rsid w:val="272B4880"/>
    <w:rsid w:val="274F6261"/>
    <w:rsid w:val="276F3917"/>
    <w:rsid w:val="277A093D"/>
    <w:rsid w:val="278241BD"/>
    <w:rsid w:val="27971706"/>
    <w:rsid w:val="279767AD"/>
    <w:rsid w:val="280755BB"/>
    <w:rsid w:val="28290484"/>
    <w:rsid w:val="286D29E1"/>
    <w:rsid w:val="288714FD"/>
    <w:rsid w:val="28CC3AA7"/>
    <w:rsid w:val="28EA436C"/>
    <w:rsid w:val="29215BA4"/>
    <w:rsid w:val="292A0122"/>
    <w:rsid w:val="29660000"/>
    <w:rsid w:val="298A5CBE"/>
    <w:rsid w:val="29A65A1D"/>
    <w:rsid w:val="29AF38AF"/>
    <w:rsid w:val="29B4634A"/>
    <w:rsid w:val="29EA6C76"/>
    <w:rsid w:val="29F10992"/>
    <w:rsid w:val="2A2E1289"/>
    <w:rsid w:val="2A6F7656"/>
    <w:rsid w:val="2A8229CD"/>
    <w:rsid w:val="2A8453B1"/>
    <w:rsid w:val="2A863051"/>
    <w:rsid w:val="2A9920D3"/>
    <w:rsid w:val="2AA56CCB"/>
    <w:rsid w:val="2AE37315"/>
    <w:rsid w:val="2B125909"/>
    <w:rsid w:val="2B2412CD"/>
    <w:rsid w:val="2B2433DD"/>
    <w:rsid w:val="2B7045BE"/>
    <w:rsid w:val="2B9D7C99"/>
    <w:rsid w:val="2BA90F52"/>
    <w:rsid w:val="2BAB53B1"/>
    <w:rsid w:val="2BB51544"/>
    <w:rsid w:val="2BC346BE"/>
    <w:rsid w:val="2BE16598"/>
    <w:rsid w:val="2BF269A7"/>
    <w:rsid w:val="2C1C696A"/>
    <w:rsid w:val="2C5174E0"/>
    <w:rsid w:val="2C5618F8"/>
    <w:rsid w:val="2C6A365C"/>
    <w:rsid w:val="2C877A43"/>
    <w:rsid w:val="2C8F59B2"/>
    <w:rsid w:val="2CE22AB5"/>
    <w:rsid w:val="2D5D4A78"/>
    <w:rsid w:val="2D845825"/>
    <w:rsid w:val="2D9A7120"/>
    <w:rsid w:val="2DC50F24"/>
    <w:rsid w:val="2DE435D2"/>
    <w:rsid w:val="2DF36570"/>
    <w:rsid w:val="2E235B1A"/>
    <w:rsid w:val="2E2D4D5E"/>
    <w:rsid w:val="2E3512B9"/>
    <w:rsid w:val="2ECF2A5B"/>
    <w:rsid w:val="2F2D13D6"/>
    <w:rsid w:val="2F2D4173"/>
    <w:rsid w:val="2F3C308F"/>
    <w:rsid w:val="2F8278DB"/>
    <w:rsid w:val="2F9C7A54"/>
    <w:rsid w:val="2F9D6043"/>
    <w:rsid w:val="2FC04163"/>
    <w:rsid w:val="2FD71C09"/>
    <w:rsid w:val="3006129D"/>
    <w:rsid w:val="30B5333E"/>
    <w:rsid w:val="30F90549"/>
    <w:rsid w:val="313C614E"/>
    <w:rsid w:val="31505DAD"/>
    <w:rsid w:val="31532F2D"/>
    <w:rsid w:val="318320A8"/>
    <w:rsid w:val="31A40879"/>
    <w:rsid w:val="31C1309B"/>
    <w:rsid w:val="31CD7106"/>
    <w:rsid w:val="31F57EDC"/>
    <w:rsid w:val="320C1BA8"/>
    <w:rsid w:val="329C30DB"/>
    <w:rsid w:val="32AA5A6C"/>
    <w:rsid w:val="32B56792"/>
    <w:rsid w:val="32BC30EA"/>
    <w:rsid w:val="32C51192"/>
    <w:rsid w:val="32CD43F3"/>
    <w:rsid w:val="32EE7C35"/>
    <w:rsid w:val="332848FF"/>
    <w:rsid w:val="3392494D"/>
    <w:rsid w:val="33B33591"/>
    <w:rsid w:val="33C40DAF"/>
    <w:rsid w:val="33CB50F6"/>
    <w:rsid w:val="33EA5773"/>
    <w:rsid w:val="34156596"/>
    <w:rsid w:val="341579FF"/>
    <w:rsid w:val="343B1E3D"/>
    <w:rsid w:val="347B2C27"/>
    <w:rsid w:val="3480762C"/>
    <w:rsid w:val="34A63D91"/>
    <w:rsid w:val="34B563E2"/>
    <w:rsid w:val="34C71782"/>
    <w:rsid w:val="34CA2810"/>
    <w:rsid w:val="34DA3D6D"/>
    <w:rsid w:val="34F73875"/>
    <w:rsid w:val="35033E04"/>
    <w:rsid w:val="350A1874"/>
    <w:rsid w:val="350C4714"/>
    <w:rsid w:val="351A087B"/>
    <w:rsid w:val="35270B41"/>
    <w:rsid w:val="353323D5"/>
    <w:rsid w:val="35925C72"/>
    <w:rsid w:val="35973F2D"/>
    <w:rsid w:val="359D257C"/>
    <w:rsid w:val="35C26DEE"/>
    <w:rsid w:val="360F267E"/>
    <w:rsid w:val="365A50BB"/>
    <w:rsid w:val="366E68DA"/>
    <w:rsid w:val="36881F0D"/>
    <w:rsid w:val="36C41867"/>
    <w:rsid w:val="36CC24F7"/>
    <w:rsid w:val="370E4C3C"/>
    <w:rsid w:val="373C3CC0"/>
    <w:rsid w:val="375436D4"/>
    <w:rsid w:val="37545502"/>
    <w:rsid w:val="37855348"/>
    <w:rsid w:val="37D4606B"/>
    <w:rsid w:val="37FA4F3B"/>
    <w:rsid w:val="381F5E35"/>
    <w:rsid w:val="383813C8"/>
    <w:rsid w:val="385244BD"/>
    <w:rsid w:val="386019A8"/>
    <w:rsid w:val="38623892"/>
    <w:rsid w:val="38650C3E"/>
    <w:rsid w:val="388809BB"/>
    <w:rsid w:val="388A07DC"/>
    <w:rsid w:val="38AA63F6"/>
    <w:rsid w:val="38D33010"/>
    <w:rsid w:val="38E431AE"/>
    <w:rsid w:val="38F57B5C"/>
    <w:rsid w:val="38FD2469"/>
    <w:rsid w:val="39081EE0"/>
    <w:rsid w:val="39334744"/>
    <w:rsid w:val="3948026B"/>
    <w:rsid w:val="3956604D"/>
    <w:rsid w:val="39A1679C"/>
    <w:rsid w:val="39F12A70"/>
    <w:rsid w:val="3A132F16"/>
    <w:rsid w:val="3A1B3237"/>
    <w:rsid w:val="3A93517E"/>
    <w:rsid w:val="3B42434C"/>
    <w:rsid w:val="3B813AC6"/>
    <w:rsid w:val="3BE55A8F"/>
    <w:rsid w:val="3BF44C1A"/>
    <w:rsid w:val="3C030505"/>
    <w:rsid w:val="3C34574B"/>
    <w:rsid w:val="3C5A2D1C"/>
    <w:rsid w:val="3C7941AB"/>
    <w:rsid w:val="3CB31035"/>
    <w:rsid w:val="3CB37024"/>
    <w:rsid w:val="3CE47750"/>
    <w:rsid w:val="3D057F7D"/>
    <w:rsid w:val="3D0976C4"/>
    <w:rsid w:val="3D4752E9"/>
    <w:rsid w:val="3D7E34D1"/>
    <w:rsid w:val="3D8C258A"/>
    <w:rsid w:val="3DA7157D"/>
    <w:rsid w:val="3E0347A6"/>
    <w:rsid w:val="3E37139E"/>
    <w:rsid w:val="3E386E20"/>
    <w:rsid w:val="3E5C5F16"/>
    <w:rsid w:val="3E5E7AE4"/>
    <w:rsid w:val="3E7E6A1E"/>
    <w:rsid w:val="3F3527DB"/>
    <w:rsid w:val="3F610CAF"/>
    <w:rsid w:val="3F92191C"/>
    <w:rsid w:val="402F14D9"/>
    <w:rsid w:val="4042437C"/>
    <w:rsid w:val="40437225"/>
    <w:rsid w:val="40666255"/>
    <w:rsid w:val="40852B71"/>
    <w:rsid w:val="40A56A55"/>
    <w:rsid w:val="40D04F96"/>
    <w:rsid w:val="412F650A"/>
    <w:rsid w:val="4154383A"/>
    <w:rsid w:val="41563DCE"/>
    <w:rsid w:val="415826D8"/>
    <w:rsid w:val="416A77B2"/>
    <w:rsid w:val="42092064"/>
    <w:rsid w:val="427E562E"/>
    <w:rsid w:val="42C22B34"/>
    <w:rsid w:val="42C433F4"/>
    <w:rsid w:val="42E6571C"/>
    <w:rsid w:val="42F624A6"/>
    <w:rsid w:val="43297F3D"/>
    <w:rsid w:val="434C069A"/>
    <w:rsid w:val="43707565"/>
    <w:rsid w:val="43814E59"/>
    <w:rsid w:val="43C14353"/>
    <w:rsid w:val="43D8167B"/>
    <w:rsid w:val="4412373D"/>
    <w:rsid w:val="44846EF4"/>
    <w:rsid w:val="448B20BD"/>
    <w:rsid w:val="44D00889"/>
    <w:rsid w:val="44DB3186"/>
    <w:rsid w:val="44F11AA7"/>
    <w:rsid w:val="453146CD"/>
    <w:rsid w:val="455A36D4"/>
    <w:rsid w:val="45642733"/>
    <w:rsid w:val="45730659"/>
    <w:rsid w:val="45BA2F88"/>
    <w:rsid w:val="45FB5915"/>
    <w:rsid w:val="462875A5"/>
    <w:rsid w:val="462E6C0B"/>
    <w:rsid w:val="46A401F3"/>
    <w:rsid w:val="47077F50"/>
    <w:rsid w:val="475A0EB2"/>
    <w:rsid w:val="475B3E56"/>
    <w:rsid w:val="475E4BEA"/>
    <w:rsid w:val="47766E62"/>
    <w:rsid w:val="4789005A"/>
    <w:rsid w:val="479E21BE"/>
    <w:rsid w:val="47CB5980"/>
    <w:rsid w:val="47E7569B"/>
    <w:rsid w:val="488739F0"/>
    <w:rsid w:val="48BA78DE"/>
    <w:rsid w:val="48C2276C"/>
    <w:rsid w:val="48CA70FD"/>
    <w:rsid w:val="48CB5058"/>
    <w:rsid w:val="48CC2435"/>
    <w:rsid w:val="490D4C4F"/>
    <w:rsid w:val="491B29BE"/>
    <w:rsid w:val="499814CB"/>
    <w:rsid w:val="499C42E2"/>
    <w:rsid w:val="49FA026B"/>
    <w:rsid w:val="49FA3470"/>
    <w:rsid w:val="4A596B7C"/>
    <w:rsid w:val="4A5E3A23"/>
    <w:rsid w:val="4A92373A"/>
    <w:rsid w:val="4AA043AA"/>
    <w:rsid w:val="4ABA51D3"/>
    <w:rsid w:val="4ABD1A49"/>
    <w:rsid w:val="4AD16E3D"/>
    <w:rsid w:val="4B17556D"/>
    <w:rsid w:val="4B46248B"/>
    <w:rsid w:val="4B8D6483"/>
    <w:rsid w:val="4B994F91"/>
    <w:rsid w:val="4BBD33CE"/>
    <w:rsid w:val="4BC75233"/>
    <w:rsid w:val="4C5B7BDE"/>
    <w:rsid w:val="4C7F2A4C"/>
    <w:rsid w:val="4CAA6DEC"/>
    <w:rsid w:val="4CBB5870"/>
    <w:rsid w:val="4CF6061B"/>
    <w:rsid w:val="4D0E12D1"/>
    <w:rsid w:val="4D291727"/>
    <w:rsid w:val="4D2A6786"/>
    <w:rsid w:val="4D3913B2"/>
    <w:rsid w:val="4D681C3A"/>
    <w:rsid w:val="4D973F47"/>
    <w:rsid w:val="4D976B7C"/>
    <w:rsid w:val="4DAA76F7"/>
    <w:rsid w:val="4DBE1C1A"/>
    <w:rsid w:val="4DEF06D0"/>
    <w:rsid w:val="4DFF0486"/>
    <w:rsid w:val="4DFF3300"/>
    <w:rsid w:val="4E0C0B2F"/>
    <w:rsid w:val="4EC877D1"/>
    <w:rsid w:val="4F203DE0"/>
    <w:rsid w:val="4F556D8D"/>
    <w:rsid w:val="4F72431F"/>
    <w:rsid w:val="4FA90FFB"/>
    <w:rsid w:val="4FB253E2"/>
    <w:rsid w:val="4FBE780A"/>
    <w:rsid w:val="4FF442B8"/>
    <w:rsid w:val="4FF74036"/>
    <w:rsid w:val="4FFF71C0"/>
    <w:rsid w:val="5023371B"/>
    <w:rsid w:val="503A7D50"/>
    <w:rsid w:val="50573EE0"/>
    <w:rsid w:val="50687EE1"/>
    <w:rsid w:val="50825ABD"/>
    <w:rsid w:val="50847E24"/>
    <w:rsid w:val="508B2042"/>
    <w:rsid w:val="50923CBD"/>
    <w:rsid w:val="50A117D4"/>
    <w:rsid w:val="50DC48AF"/>
    <w:rsid w:val="50F1625A"/>
    <w:rsid w:val="511B1AE4"/>
    <w:rsid w:val="5124215A"/>
    <w:rsid w:val="51320B4E"/>
    <w:rsid w:val="517806BF"/>
    <w:rsid w:val="519B7926"/>
    <w:rsid w:val="51B15013"/>
    <w:rsid w:val="51E62428"/>
    <w:rsid w:val="5222697F"/>
    <w:rsid w:val="525F63AA"/>
    <w:rsid w:val="527375B5"/>
    <w:rsid w:val="52D93B7C"/>
    <w:rsid w:val="52E0721B"/>
    <w:rsid w:val="52E7467F"/>
    <w:rsid w:val="530379C0"/>
    <w:rsid w:val="5318224A"/>
    <w:rsid w:val="53211D72"/>
    <w:rsid w:val="5334399F"/>
    <w:rsid w:val="533A3138"/>
    <w:rsid w:val="537D1372"/>
    <w:rsid w:val="53FF22C9"/>
    <w:rsid w:val="54124691"/>
    <w:rsid w:val="542F154F"/>
    <w:rsid w:val="544E4D2A"/>
    <w:rsid w:val="54950E52"/>
    <w:rsid w:val="54A52B04"/>
    <w:rsid w:val="550510D0"/>
    <w:rsid w:val="55061C05"/>
    <w:rsid w:val="550D4C7E"/>
    <w:rsid w:val="55361973"/>
    <w:rsid w:val="556B5F64"/>
    <w:rsid w:val="55826059"/>
    <w:rsid w:val="55B577AC"/>
    <w:rsid w:val="55B840E3"/>
    <w:rsid w:val="55DB4169"/>
    <w:rsid w:val="56021E2A"/>
    <w:rsid w:val="560A0CCC"/>
    <w:rsid w:val="560A7BA7"/>
    <w:rsid w:val="561E24B4"/>
    <w:rsid w:val="567233E3"/>
    <w:rsid w:val="56813D12"/>
    <w:rsid w:val="56D53EDE"/>
    <w:rsid w:val="56FE0584"/>
    <w:rsid w:val="573B17CB"/>
    <w:rsid w:val="573D4E87"/>
    <w:rsid w:val="57545D44"/>
    <w:rsid w:val="5781514F"/>
    <w:rsid w:val="578C36BF"/>
    <w:rsid w:val="578D15B1"/>
    <w:rsid w:val="57A25E51"/>
    <w:rsid w:val="57E45843"/>
    <w:rsid w:val="57F77A99"/>
    <w:rsid w:val="58036FF1"/>
    <w:rsid w:val="581F31B7"/>
    <w:rsid w:val="585B2F03"/>
    <w:rsid w:val="58803767"/>
    <w:rsid w:val="58807951"/>
    <w:rsid w:val="58DF4006"/>
    <w:rsid w:val="591D14AE"/>
    <w:rsid w:val="591F64C4"/>
    <w:rsid w:val="59272B65"/>
    <w:rsid w:val="59284BD5"/>
    <w:rsid w:val="593928F1"/>
    <w:rsid w:val="596E2614"/>
    <w:rsid w:val="59847F15"/>
    <w:rsid w:val="59B30F36"/>
    <w:rsid w:val="59C72A34"/>
    <w:rsid w:val="59E35308"/>
    <w:rsid w:val="5A151319"/>
    <w:rsid w:val="5A7E4921"/>
    <w:rsid w:val="5A8A3DB1"/>
    <w:rsid w:val="5A972372"/>
    <w:rsid w:val="5AA9184E"/>
    <w:rsid w:val="5AD433FA"/>
    <w:rsid w:val="5ADC5520"/>
    <w:rsid w:val="5AE31628"/>
    <w:rsid w:val="5B1B7F7F"/>
    <w:rsid w:val="5B747B40"/>
    <w:rsid w:val="5BA3302A"/>
    <w:rsid w:val="5BC85BF2"/>
    <w:rsid w:val="5BD15CD7"/>
    <w:rsid w:val="5BD62506"/>
    <w:rsid w:val="5BED6D6F"/>
    <w:rsid w:val="5C281CBF"/>
    <w:rsid w:val="5C375F97"/>
    <w:rsid w:val="5C3F2313"/>
    <w:rsid w:val="5C7F704A"/>
    <w:rsid w:val="5CD003EE"/>
    <w:rsid w:val="5CDB0255"/>
    <w:rsid w:val="5CED0783"/>
    <w:rsid w:val="5D0040C4"/>
    <w:rsid w:val="5D1B5705"/>
    <w:rsid w:val="5D3868D0"/>
    <w:rsid w:val="5D3D5F84"/>
    <w:rsid w:val="5D464C29"/>
    <w:rsid w:val="5D72396D"/>
    <w:rsid w:val="5D771884"/>
    <w:rsid w:val="5D96394F"/>
    <w:rsid w:val="5DCC1CA1"/>
    <w:rsid w:val="5DF6043F"/>
    <w:rsid w:val="5DFE13F7"/>
    <w:rsid w:val="5E0A56D8"/>
    <w:rsid w:val="5E1E33A9"/>
    <w:rsid w:val="5E230800"/>
    <w:rsid w:val="5E271CE1"/>
    <w:rsid w:val="5E3B3CA9"/>
    <w:rsid w:val="5E53162C"/>
    <w:rsid w:val="5E8F0E96"/>
    <w:rsid w:val="5F103D27"/>
    <w:rsid w:val="5F324B4B"/>
    <w:rsid w:val="5F88394B"/>
    <w:rsid w:val="5F8A6E4E"/>
    <w:rsid w:val="5F9012BD"/>
    <w:rsid w:val="5F924DC1"/>
    <w:rsid w:val="5FB95257"/>
    <w:rsid w:val="5FD231B8"/>
    <w:rsid w:val="5FD93159"/>
    <w:rsid w:val="5FE837F5"/>
    <w:rsid w:val="5FF6617D"/>
    <w:rsid w:val="5FFE2592"/>
    <w:rsid w:val="604134CD"/>
    <w:rsid w:val="60BC2341"/>
    <w:rsid w:val="60DB75D3"/>
    <w:rsid w:val="618668C8"/>
    <w:rsid w:val="61B13F9A"/>
    <w:rsid w:val="61BC05B0"/>
    <w:rsid w:val="62007B87"/>
    <w:rsid w:val="626B4E79"/>
    <w:rsid w:val="627D15E7"/>
    <w:rsid w:val="62851CDD"/>
    <w:rsid w:val="62A71108"/>
    <w:rsid w:val="62B12EE3"/>
    <w:rsid w:val="62C872A0"/>
    <w:rsid w:val="62C97080"/>
    <w:rsid w:val="632623AE"/>
    <w:rsid w:val="6334467B"/>
    <w:rsid w:val="634B6A33"/>
    <w:rsid w:val="63537050"/>
    <w:rsid w:val="6366073D"/>
    <w:rsid w:val="637451BA"/>
    <w:rsid w:val="63856835"/>
    <w:rsid w:val="638C7095"/>
    <w:rsid w:val="64481CC9"/>
    <w:rsid w:val="648264B3"/>
    <w:rsid w:val="64B74F47"/>
    <w:rsid w:val="64EB5CA0"/>
    <w:rsid w:val="64F91C54"/>
    <w:rsid w:val="65031CD1"/>
    <w:rsid w:val="650352E9"/>
    <w:rsid w:val="65053E1E"/>
    <w:rsid w:val="65054FBD"/>
    <w:rsid w:val="650B73ED"/>
    <w:rsid w:val="65420171"/>
    <w:rsid w:val="65526949"/>
    <w:rsid w:val="65D5075D"/>
    <w:rsid w:val="65FC49E9"/>
    <w:rsid w:val="662A0A38"/>
    <w:rsid w:val="663A1493"/>
    <w:rsid w:val="66486107"/>
    <w:rsid w:val="66494234"/>
    <w:rsid w:val="665011DF"/>
    <w:rsid w:val="66545E99"/>
    <w:rsid w:val="6684029B"/>
    <w:rsid w:val="669A7F65"/>
    <w:rsid w:val="66B35A7A"/>
    <w:rsid w:val="66D76328"/>
    <w:rsid w:val="66E50D0E"/>
    <w:rsid w:val="66EC2A81"/>
    <w:rsid w:val="67247A5C"/>
    <w:rsid w:val="672B1A53"/>
    <w:rsid w:val="67C30AB2"/>
    <w:rsid w:val="680C0D40"/>
    <w:rsid w:val="682F10B1"/>
    <w:rsid w:val="68946DA9"/>
    <w:rsid w:val="68E77426"/>
    <w:rsid w:val="691C697F"/>
    <w:rsid w:val="693A0334"/>
    <w:rsid w:val="697C3D7A"/>
    <w:rsid w:val="69836008"/>
    <w:rsid w:val="69841C93"/>
    <w:rsid w:val="69892653"/>
    <w:rsid w:val="69CC7479"/>
    <w:rsid w:val="69E43C45"/>
    <w:rsid w:val="69F5715D"/>
    <w:rsid w:val="6A270136"/>
    <w:rsid w:val="6A5128E7"/>
    <w:rsid w:val="6A555782"/>
    <w:rsid w:val="6A617017"/>
    <w:rsid w:val="6A62085F"/>
    <w:rsid w:val="6A897109"/>
    <w:rsid w:val="6A9F20FF"/>
    <w:rsid w:val="6AC04C83"/>
    <w:rsid w:val="6AEF0C5E"/>
    <w:rsid w:val="6B31046B"/>
    <w:rsid w:val="6B400911"/>
    <w:rsid w:val="6B41632D"/>
    <w:rsid w:val="6BA0669E"/>
    <w:rsid w:val="6BCB6198"/>
    <w:rsid w:val="6C1908AC"/>
    <w:rsid w:val="6C2D5854"/>
    <w:rsid w:val="6C6D2D0D"/>
    <w:rsid w:val="6C7453DE"/>
    <w:rsid w:val="6C855301"/>
    <w:rsid w:val="6C891148"/>
    <w:rsid w:val="6CBC13F4"/>
    <w:rsid w:val="6CD25BDE"/>
    <w:rsid w:val="6D016666"/>
    <w:rsid w:val="6D1F041D"/>
    <w:rsid w:val="6D2A30C5"/>
    <w:rsid w:val="6D4C79DE"/>
    <w:rsid w:val="6D8650A8"/>
    <w:rsid w:val="6DA97C2D"/>
    <w:rsid w:val="6DCC1770"/>
    <w:rsid w:val="6DF767A3"/>
    <w:rsid w:val="6E000787"/>
    <w:rsid w:val="6E091096"/>
    <w:rsid w:val="6E2939B5"/>
    <w:rsid w:val="6E4352D1"/>
    <w:rsid w:val="6E737441"/>
    <w:rsid w:val="6EBC030F"/>
    <w:rsid w:val="6EE7690C"/>
    <w:rsid w:val="6F2F55F5"/>
    <w:rsid w:val="6F64004E"/>
    <w:rsid w:val="6F833ED3"/>
    <w:rsid w:val="6FE31E38"/>
    <w:rsid w:val="700B69B6"/>
    <w:rsid w:val="7016717C"/>
    <w:rsid w:val="701F46BD"/>
    <w:rsid w:val="704F6C8A"/>
    <w:rsid w:val="70512CBB"/>
    <w:rsid w:val="70B7737C"/>
    <w:rsid w:val="70D06298"/>
    <w:rsid w:val="70D37054"/>
    <w:rsid w:val="71263532"/>
    <w:rsid w:val="71606F75"/>
    <w:rsid w:val="72085F0E"/>
    <w:rsid w:val="7248108B"/>
    <w:rsid w:val="724A05E8"/>
    <w:rsid w:val="724D54DA"/>
    <w:rsid w:val="72811853"/>
    <w:rsid w:val="72BC0523"/>
    <w:rsid w:val="72BC1B8E"/>
    <w:rsid w:val="72D37019"/>
    <w:rsid w:val="738C1DEC"/>
    <w:rsid w:val="73CD5085"/>
    <w:rsid w:val="73FD0B65"/>
    <w:rsid w:val="741065A6"/>
    <w:rsid w:val="74261C2A"/>
    <w:rsid w:val="743E4FDA"/>
    <w:rsid w:val="74454306"/>
    <w:rsid w:val="745D14B7"/>
    <w:rsid w:val="74824798"/>
    <w:rsid w:val="748374B2"/>
    <w:rsid w:val="74BE1A94"/>
    <w:rsid w:val="74CC1DC0"/>
    <w:rsid w:val="7502185A"/>
    <w:rsid w:val="751F5A9C"/>
    <w:rsid w:val="7553092D"/>
    <w:rsid w:val="755B7EA8"/>
    <w:rsid w:val="7595642F"/>
    <w:rsid w:val="76075D1D"/>
    <w:rsid w:val="763F7F9F"/>
    <w:rsid w:val="76495049"/>
    <w:rsid w:val="769F52A1"/>
    <w:rsid w:val="76EE55AC"/>
    <w:rsid w:val="76F220C7"/>
    <w:rsid w:val="772671D2"/>
    <w:rsid w:val="77405661"/>
    <w:rsid w:val="77440E21"/>
    <w:rsid w:val="779F79D2"/>
    <w:rsid w:val="77AE4C12"/>
    <w:rsid w:val="77CA5D2B"/>
    <w:rsid w:val="77D65A48"/>
    <w:rsid w:val="78121F2E"/>
    <w:rsid w:val="78344EE6"/>
    <w:rsid w:val="783A61D4"/>
    <w:rsid w:val="7844255D"/>
    <w:rsid w:val="78444A87"/>
    <w:rsid w:val="784721A0"/>
    <w:rsid w:val="7885742D"/>
    <w:rsid w:val="78972FCD"/>
    <w:rsid w:val="78B54A54"/>
    <w:rsid w:val="78D90277"/>
    <w:rsid w:val="78F47BD2"/>
    <w:rsid w:val="78F66B43"/>
    <w:rsid w:val="7907149F"/>
    <w:rsid w:val="792E5ADB"/>
    <w:rsid w:val="793A736F"/>
    <w:rsid w:val="795A6E1D"/>
    <w:rsid w:val="79630533"/>
    <w:rsid w:val="796957FE"/>
    <w:rsid w:val="7972680A"/>
    <w:rsid w:val="79832984"/>
    <w:rsid w:val="79B35723"/>
    <w:rsid w:val="7A030083"/>
    <w:rsid w:val="7A435623"/>
    <w:rsid w:val="7A5A4664"/>
    <w:rsid w:val="7A6378EA"/>
    <w:rsid w:val="7A990E28"/>
    <w:rsid w:val="7ADA12F5"/>
    <w:rsid w:val="7AF00FBF"/>
    <w:rsid w:val="7B0D6371"/>
    <w:rsid w:val="7B425546"/>
    <w:rsid w:val="7B495A72"/>
    <w:rsid w:val="7B5E2D46"/>
    <w:rsid w:val="7B62387C"/>
    <w:rsid w:val="7B631AB3"/>
    <w:rsid w:val="7B715A61"/>
    <w:rsid w:val="7B7C01F3"/>
    <w:rsid w:val="7B8E0777"/>
    <w:rsid w:val="7B9A1458"/>
    <w:rsid w:val="7BB0072A"/>
    <w:rsid w:val="7BC71E77"/>
    <w:rsid w:val="7BCA1E8A"/>
    <w:rsid w:val="7BF662EE"/>
    <w:rsid w:val="7BF7021D"/>
    <w:rsid w:val="7C536936"/>
    <w:rsid w:val="7C585E3C"/>
    <w:rsid w:val="7C816FEB"/>
    <w:rsid w:val="7CE945FD"/>
    <w:rsid w:val="7CF01E50"/>
    <w:rsid w:val="7D254BDC"/>
    <w:rsid w:val="7D2D083F"/>
    <w:rsid w:val="7D703797"/>
    <w:rsid w:val="7D783084"/>
    <w:rsid w:val="7D90280C"/>
    <w:rsid w:val="7DD11077"/>
    <w:rsid w:val="7DF7205D"/>
    <w:rsid w:val="7E597CD7"/>
    <w:rsid w:val="7E5A355A"/>
    <w:rsid w:val="7E647DCE"/>
    <w:rsid w:val="7EB0558F"/>
    <w:rsid w:val="7EF62377"/>
    <w:rsid w:val="7EF96EB6"/>
    <w:rsid w:val="7EFF54A2"/>
    <w:rsid w:val="7F0A2079"/>
    <w:rsid w:val="7F1B49D7"/>
    <w:rsid w:val="7F3D15CE"/>
    <w:rsid w:val="7F4A43D7"/>
    <w:rsid w:val="7FA6487B"/>
    <w:rsid w:val="7FBA00B3"/>
    <w:rsid w:val="7FDD30DF"/>
    <w:rsid w:val="7FF1004D"/>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2"/>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39"/>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31"/>
    <w:qFormat/>
    <w:uiPriority w:val="0"/>
    <w:rPr>
      <w:rFonts w:ascii="宋体"/>
      <w:sz w:val="18"/>
      <w:szCs w:val="18"/>
    </w:rPr>
  </w:style>
  <w:style w:type="paragraph" w:styleId="7">
    <w:name w:val="annotation text"/>
    <w:basedOn w:val="1"/>
    <w:link w:val="32"/>
    <w:qFormat/>
    <w:uiPriority w:val="99"/>
    <w:pPr>
      <w:jc w:val="left"/>
    </w:pPr>
    <w:rPr>
      <w:rFonts w:ascii="仿宋_GB2312" w:eastAsia="仿宋_GB2312"/>
      <w:sz w:val="32"/>
      <w:szCs w:val="32"/>
    </w:rPr>
  </w:style>
  <w:style w:type="paragraph" w:styleId="8">
    <w:name w:val="Body Text"/>
    <w:basedOn w:val="1"/>
    <w:qFormat/>
    <w:uiPriority w:val="0"/>
    <w:pPr>
      <w:tabs>
        <w:tab w:val="left" w:pos="567"/>
      </w:tabs>
      <w:spacing w:before="120" w:line="22" w:lineRule="atLeast"/>
    </w:pPr>
    <w:rPr>
      <w:rFonts w:ascii="宋体" w:hAnsi="宋体"/>
      <w:sz w:val="24"/>
    </w:rPr>
  </w:style>
  <w:style w:type="paragraph" w:styleId="9">
    <w:name w:val="Body Text Indent"/>
    <w:basedOn w:val="1"/>
    <w:link w:val="38"/>
    <w:qFormat/>
    <w:uiPriority w:val="0"/>
    <w:pPr>
      <w:spacing w:after="120"/>
      <w:ind w:left="420" w:leftChars="200"/>
    </w:pPr>
  </w:style>
  <w:style w:type="paragraph" w:styleId="10">
    <w:name w:val="toc 3"/>
    <w:basedOn w:val="1"/>
    <w:next w:val="1"/>
    <w:link w:val="35"/>
    <w:qFormat/>
    <w:uiPriority w:val="39"/>
    <w:pPr>
      <w:spacing w:line="500" w:lineRule="exact"/>
      <w:ind w:left="400" w:leftChars="400"/>
    </w:pPr>
    <w:rPr>
      <w:kern w:val="0"/>
      <w:sz w:val="24"/>
      <w:szCs w:val="20"/>
    </w:rPr>
  </w:style>
  <w:style w:type="paragraph" w:styleId="11">
    <w:name w:val="Plain Text"/>
    <w:basedOn w:val="1"/>
    <w:link w:val="36"/>
    <w:qFormat/>
    <w:uiPriority w:val="0"/>
    <w:rPr>
      <w:rFonts w:ascii="宋体" w:hAnsi="Courier New"/>
      <w:szCs w:val="20"/>
    </w:rPr>
  </w:style>
  <w:style w:type="paragraph" w:styleId="12">
    <w:name w:val="Date"/>
    <w:basedOn w:val="1"/>
    <w:next w:val="1"/>
    <w:link w:val="40"/>
    <w:qFormat/>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260"/>
        <w:tab w:val="right" w:leader="dot" w:pos="9060"/>
      </w:tabs>
      <w:spacing w:line="500" w:lineRule="exact"/>
    </w:pPr>
    <w:rPr>
      <w:sz w:val="24"/>
    </w:rPr>
  </w:style>
  <w:style w:type="paragraph" w:styleId="18">
    <w:name w:val="toc 2"/>
    <w:basedOn w:val="1"/>
    <w:next w:val="1"/>
    <w:qFormat/>
    <w:uiPriority w:val="39"/>
    <w:pPr>
      <w:spacing w:line="500" w:lineRule="exact"/>
      <w:ind w:left="200" w:leftChars="200"/>
    </w:pPr>
    <w:rPr>
      <w:sz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index 1"/>
    <w:basedOn w:val="1"/>
    <w:next w:val="1"/>
    <w:semiHidden/>
    <w:qFormat/>
    <w:uiPriority w:val="0"/>
    <w:rPr>
      <w:szCs w:val="20"/>
    </w:rPr>
  </w:style>
  <w:style w:type="paragraph" w:styleId="21">
    <w:name w:val="annotation subject"/>
    <w:basedOn w:val="7"/>
    <w:next w:val="7"/>
    <w:semiHidden/>
    <w:qFormat/>
    <w:uiPriority w:val="0"/>
    <w:rPr>
      <w:rFonts w:ascii="Times New Roman" w:eastAsia="宋体"/>
      <w:b/>
      <w:bCs/>
      <w:sz w:val="21"/>
      <w:szCs w:val="24"/>
    </w:rPr>
  </w:style>
  <w:style w:type="paragraph" w:styleId="22">
    <w:name w:val="Body Text First Indent 2"/>
    <w:basedOn w:val="9"/>
    <w:unhideWhenUsed/>
    <w:qFormat/>
    <w:uiPriority w:val="0"/>
    <w:pPr>
      <w:ind w:firstLine="420" w:firstLineChars="200"/>
    </w:pPr>
  </w:style>
  <w:style w:type="table" w:styleId="24">
    <w:name w:val="Table Grid"/>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Hyperlink"/>
    <w:basedOn w:val="25"/>
    <w:qFormat/>
    <w:uiPriority w:val="99"/>
    <w:rPr>
      <w:color w:val="0000FF"/>
      <w:u w:val="single"/>
    </w:rPr>
  </w:style>
  <w:style w:type="character" w:styleId="30">
    <w:name w:val="annotation reference"/>
    <w:semiHidden/>
    <w:qFormat/>
    <w:uiPriority w:val="99"/>
    <w:rPr>
      <w:sz w:val="21"/>
      <w:szCs w:val="21"/>
    </w:rPr>
  </w:style>
  <w:style w:type="character" w:customStyle="1" w:styleId="31">
    <w:name w:val="文档结构图 字符"/>
    <w:link w:val="6"/>
    <w:qFormat/>
    <w:uiPriority w:val="0"/>
    <w:rPr>
      <w:rFonts w:ascii="宋体" w:eastAsia="宋体"/>
      <w:kern w:val="2"/>
      <w:sz w:val="18"/>
      <w:szCs w:val="18"/>
      <w:lang w:val="en-US" w:eastAsia="zh-CN" w:bidi="ar-SA"/>
    </w:rPr>
  </w:style>
  <w:style w:type="character" w:customStyle="1" w:styleId="32">
    <w:name w:val="批注文字 字符"/>
    <w:link w:val="7"/>
    <w:qFormat/>
    <w:uiPriority w:val="99"/>
    <w:rPr>
      <w:rFonts w:ascii="仿宋_GB2312" w:eastAsia="仿宋_GB2312"/>
      <w:kern w:val="2"/>
      <w:sz w:val="32"/>
      <w:szCs w:val="32"/>
    </w:rPr>
  </w:style>
  <w:style w:type="character" w:customStyle="1" w:styleId="33">
    <w:name w:val="样式（正文） Char"/>
    <w:link w:val="34"/>
    <w:qFormat/>
    <w:locked/>
    <w:uiPriority w:val="0"/>
    <w:rPr>
      <w:rFonts w:ascii="宋体" w:hAnsi="宋体" w:eastAsia="宋体"/>
      <w:kern w:val="2"/>
      <w:sz w:val="24"/>
      <w:szCs w:val="22"/>
      <w:lang w:bidi="ar-SA"/>
    </w:rPr>
  </w:style>
  <w:style w:type="paragraph" w:customStyle="1" w:styleId="34">
    <w:name w:val="样式（正文）"/>
    <w:basedOn w:val="1"/>
    <w:link w:val="33"/>
    <w:qFormat/>
    <w:uiPriority w:val="0"/>
    <w:pPr>
      <w:spacing w:line="360" w:lineRule="auto"/>
      <w:ind w:firstLine="200" w:firstLineChars="200"/>
    </w:pPr>
    <w:rPr>
      <w:rFonts w:ascii="宋体" w:hAnsi="宋体"/>
      <w:sz w:val="24"/>
      <w:szCs w:val="22"/>
    </w:rPr>
  </w:style>
  <w:style w:type="character" w:customStyle="1" w:styleId="35">
    <w:name w:val="TOC 3 字符"/>
    <w:link w:val="10"/>
    <w:qFormat/>
    <w:uiPriority w:val="39"/>
    <w:rPr>
      <w:sz w:val="24"/>
    </w:rPr>
  </w:style>
  <w:style w:type="character" w:customStyle="1" w:styleId="36">
    <w:name w:val="纯文本 字符"/>
    <w:link w:val="11"/>
    <w:qFormat/>
    <w:uiPriority w:val="0"/>
    <w:rPr>
      <w:rFonts w:ascii="宋体" w:hAnsi="Courier New"/>
      <w:kern w:val="2"/>
      <w:sz w:val="21"/>
    </w:rPr>
  </w:style>
  <w:style w:type="character" w:customStyle="1" w:styleId="37">
    <w:name w:val="页脚 字符"/>
    <w:basedOn w:val="25"/>
    <w:link w:val="15"/>
    <w:qFormat/>
    <w:uiPriority w:val="99"/>
    <w:rPr>
      <w:kern w:val="2"/>
      <w:sz w:val="18"/>
      <w:szCs w:val="18"/>
    </w:rPr>
  </w:style>
  <w:style w:type="character" w:customStyle="1" w:styleId="38">
    <w:name w:val="正文文本缩进 字符"/>
    <w:link w:val="9"/>
    <w:qFormat/>
    <w:uiPriority w:val="0"/>
  </w:style>
  <w:style w:type="character" w:customStyle="1" w:styleId="39">
    <w:name w:val="正文缩进 字符"/>
    <w:link w:val="2"/>
    <w:qFormat/>
    <w:uiPriority w:val="0"/>
    <w:rPr>
      <w:rFonts w:ascii="宋体" w:eastAsia="宋体"/>
      <w:sz w:val="24"/>
      <w:lang w:val="en-US" w:eastAsia="zh-CN" w:bidi="ar-SA"/>
    </w:rPr>
  </w:style>
  <w:style w:type="character" w:customStyle="1" w:styleId="40">
    <w:name w:val="日期 字符"/>
    <w:basedOn w:val="25"/>
    <w:link w:val="12"/>
    <w:qFormat/>
    <w:uiPriority w:val="0"/>
    <w:rPr>
      <w:kern w:val="2"/>
      <w:sz w:val="21"/>
      <w:szCs w:val="24"/>
    </w:rPr>
  </w:style>
  <w:style w:type="paragraph" w:customStyle="1" w:styleId="41">
    <w:name w:val="Char Char1"/>
    <w:basedOn w:val="1"/>
    <w:qFormat/>
    <w:uiPriority w:val="0"/>
  </w:style>
  <w:style w:type="paragraph" w:customStyle="1" w:styleId="42">
    <w:name w:val="p0"/>
    <w:basedOn w:val="1"/>
    <w:qFormat/>
    <w:uiPriority w:val="0"/>
    <w:pPr>
      <w:widowControl/>
      <w:snapToGrid w:val="0"/>
      <w:spacing w:after="200"/>
      <w:jc w:val="left"/>
    </w:pPr>
    <w:rPr>
      <w:rFonts w:ascii="Tahoma" w:hAnsi="Tahoma" w:cs="Tahoma"/>
      <w:kern w:val="0"/>
      <w:sz w:val="22"/>
      <w:szCs w:val="22"/>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Char1"/>
    <w:basedOn w:val="1"/>
    <w:qFormat/>
    <w:uiPriority w:val="0"/>
    <w:rPr>
      <w:rFonts w:ascii="Tahoma" w:hAnsi="Tahoma"/>
      <w:sz w:val="24"/>
      <w:szCs w:val="20"/>
    </w:rPr>
  </w:style>
  <w:style w:type="paragraph" w:customStyle="1" w:styleId="45">
    <w:name w:val="Char"/>
    <w:basedOn w:val="1"/>
    <w:qFormat/>
    <w:uiPriority w:val="0"/>
    <w:pPr>
      <w:tabs>
        <w:tab w:val="left" w:pos="432"/>
      </w:tabs>
      <w:spacing w:beforeLines="50" w:afterLines="50"/>
      <w:ind w:left="864" w:hanging="432"/>
    </w:pPr>
    <w:rPr>
      <w:sz w:val="24"/>
    </w:rPr>
  </w:style>
  <w:style w:type="paragraph" w:customStyle="1" w:styleId="46">
    <w:name w:val="样式 标题 2 + 段后: 156 磅"/>
    <w:basedOn w:val="4"/>
    <w:qFormat/>
    <w:uiPriority w:val="0"/>
    <w:pPr>
      <w:spacing w:before="100" w:after="100" w:line="240" w:lineRule="auto"/>
    </w:pPr>
    <w:rPr>
      <w:rFonts w:cs="宋体"/>
      <w:bCs/>
      <w:sz w:val="30"/>
    </w:rPr>
  </w:style>
  <w:style w:type="paragraph" w:customStyle="1" w:styleId="47">
    <w:name w:val="Char Char11"/>
    <w:basedOn w:val="1"/>
    <w:qFormat/>
    <w:uiPriority w:val="0"/>
    <w:rPr>
      <w:szCs w:val="20"/>
    </w:rPr>
  </w:style>
  <w:style w:type="paragraph" w:customStyle="1" w:styleId="48">
    <w:name w:val="样式1"/>
    <w:basedOn w:val="5"/>
    <w:qFormat/>
    <w:uiPriority w:val="0"/>
    <w:pPr>
      <w:jc w:val="center"/>
    </w:pPr>
  </w:style>
  <w:style w:type="paragraph" w:customStyle="1" w:styleId="49">
    <w:name w:val="列出段落1"/>
    <w:basedOn w:val="1"/>
    <w:qFormat/>
    <w:uiPriority w:val="34"/>
    <w:pPr>
      <w:ind w:firstLine="420" w:firstLineChars="200"/>
    </w:pPr>
    <w:rPr>
      <w:rFonts w:ascii="Calibri" w:hAnsi="Calibri"/>
      <w:szCs w:val="22"/>
    </w:rPr>
  </w:style>
  <w:style w:type="paragraph" w:customStyle="1" w:styleId="50">
    <w:name w:val="Char11"/>
    <w:basedOn w:val="1"/>
    <w:qFormat/>
    <w:uiPriority w:val="0"/>
    <w:rPr>
      <w:rFonts w:ascii="Tahoma" w:hAnsi="Tahoma"/>
      <w:sz w:val="24"/>
      <w:szCs w:val="20"/>
    </w:rPr>
  </w:style>
  <w:style w:type="paragraph" w:customStyle="1" w:styleId="51">
    <w:name w:val="Char2"/>
    <w:basedOn w:val="1"/>
    <w:next w:val="1"/>
    <w:qFormat/>
    <w:uiPriority w:val="0"/>
    <w:pPr>
      <w:widowControl/>
      <w:spacing w:line="360" w:lineRule="auto"/>
      <w:jc w:val="left"/>
    </w:pPr>
    <w:rPr>
      <w:kern w:val="0"/>
      <w:szCs w:val="20"/>
      <w:lang w:eastAsia="en-US"/>
    </w:rPr>
  </w:style>
  <w:style w:type="paragraph" w:customStyle="1" w:styleId="52">
    <w:name w:val="表文"/>
    <w:basedOn w:val="1"/>
    <w:qFormat/>
    <w:uiPriority w:val="0"/>
    <w:rPr>
      <w:rFonts w:ascii="宋体" w:hAnsi="宋体" w:cs="宋体"/>
      <w:color w:val="000000"/>
      <w:kern w:val="0"/>
      <w:szCs w:val="21"/>
    </w:rPr>
  </w:style>
  <w:style w:type="paragraph" w:customStyle="1" w:styleId="53">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4">
    <w:name w:val="批注文字 Char1"/>
    <w:basedOn w:val="25"/>
    <w:semiHidden/>
    <w:qFormat/>
    <w:uiPriority w:val="99"/>
    <w:rPr>
      <w:rFonts w:ascii="Times New Roman" w:hAnsi="Times New Roman" w:eastAsia="宋体" w:cs="Times New Roman"/>
      <w:szCs w:val="24"/>
    </w:rPr>
  </w:style>
  <w:style w:type="paragraph" w:customStyle="1" w:styleId="5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56">
    <w:name w:val="List Paragraph"/>
    <w:basedOn w:val="1"/>
    <w:qFormat/>
    <w:uiPriority w:val="99"/>
    <w:pPr>
      <w:ind w:firstLine="420" w:firstLineChars="200"/>
    </w:pPr>
  </w:style>
  <w:style w:type="character" w:customStyle="1" w:styleId="57">
    <w:name w:val="NormalCharacter"/>
    <w:qFormat/>
    <w:uiPriority w:val="0"/>
  </w:style>
  <w:style w:type="paragraph" w:customStyle="1" w:styleId="58">
    <w:name w:val="Heading1"/>
    <w:basedOn w:val="1"/>
    <w:next w:val="1"/>
    <w:qFormat/>
    <w:uiPriority w:val="0"/>
    <w:pPr>
      <w:keepNext/>
      <w:keepLines/>
      <w:widowControl/>
      <w:spacing w:before="100" w:after="100"/>
      <w:jc w:val="center"/>
    </w:pPr>
    <w:rPr>
      <w:kern w:val="44"/>
      <w:sz w:val="32"/>
      <w:szCs w:val="44"/>
    </w:rPr>
  </w:style>
  <w:style w:type="character" w:customStyle="1" w:styleId="59">
    <w:name w:val="标题5 Char Char"/>
    <w:link w:val="60"/>
    <w:qFormat/>
    <w:uiPriority w:val="0"/>
    <w:rPr>
      <w:rFonts w:ascii="Arial" w:hAnsi="Arial"/>
      <w:b/>
      <w:bCs/>
      <w:sz w:val="24"/>
      <w:szCs w:val="32"/>
    </w:rPr>
  </w:style>
  <w:style w:type="paragraph" w:customStyle="1" w:styleId="60">
    <w:name w:val="标题5"/>
    <w:basedOn w:val="5"/>
    <w:link w:val="59"/>
    <w:qFormat/>
    <w:uiPriority w:val="0"/>
    <w:pPr>
      <w:wordWrap/>
      <w:autoSpaceDE/>
      <w:autoSpaceDN/>
      <w:adjustRightInd/>
      <w:spacing w:before="260" w:after="260" w:line="413" w:lineRule="auto"/>
      <w:jc w:val="both"/>
    </w:pPr>
    <w:rPr>
      <w:rFonts w:ascii="Arial" w:hAnsi="Arial"/>
      <w:bCs/>
      <w:szCs w:val="32"/>
    </w:rPr>
  </w:style>
  <w:style w:type="paragraph" w:customStyle="1" w:styleId="6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45DC1D-5D96-48E6-894B-AC40A00ED3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11927</Words>
  <Characters>12633</Characters>
  <Lines>114</Lines>
  <Paragraphs>32</Paragraphs>
  <TotalTime>46</TotalTime>
  <ScaleCrop>false</ScaleCrop>
  <LinksUpToDate>false</LinksUpToDate>
  <CharactersWithSpaces>14694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2020-10-29T05:31:00Z</dcterms:created>
  <dc:creator>LF</dc:creator>
  <cp:lastModifiedBy>半梦半醒</cp:lastModifiedBy>
  <cp:lastPrinted>2021-06-30T09:13:00Z</cp:lastPrinted>
  <dcterms:modified xsi:type="dcterms:W3CDTF">2024-09-11T02:52:02Z</dcterms:modified>
  <dc:title>招标文件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72184854DFE64E63A88BBBAFDE22D852_13</vt:lpwstr>
  </property>
</Properties>
</file>